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5EE" w:rsidRDefault="009835EE" w:rsidP="009835EE">
      <w:pPr>
        <w:jc w:val="center"/>
        <w:rPr>
          <w:rFonts w:cs="David"/>
          <w:b/>
          <w:bCs/>
          <w:sz w:val="28"/>
          <w:szCs w:val="28"/>
          <w:u w:val="single"/>
          <w:rtl/>
        </w:rPr>
      </w:pPr>
      <w:r>
        <w:rPr>
          <w:rFonts w:cs="David" w:hint="cs"/>
          <w:b/>
          <w:bCs/>
          <w:sz w:val="28"/>
          <w:szCs w:val="28"/>
          <w:u w:val="single"/>
          <w:rtl/>
        </w:rPr>
        <w:t>ברור תוקף גיורם של רבנים מרבני הזרם האורתודוקסי המודרני בארה"ב הרב יחזקאל לוקשטיין ואחרים למטרת נישואין כדמו"י כפי שנתברר בבית הדין הרבני ובבית הדין הגדול בירושלים</w:t>
      </w:r>
    </w:p>
    <w:p w:rsidR="009835EE" w:rsidRDefault="009835EE" w:rsidP="009835EE">
      <w:pPr>
        <w:jc w:val="center"/>
        <w:rPr>
          <w:rFonts w:cs="David"/>
          <w:b/>
          <w:bCs/>
          <w:sz w:val="28"/>
          <w:szCs w:val="28"/>
          <w:u w:val="single"/>
          <w:rtl/>
        </w:rPr>
      </w:pPr>
      <w:r>
        <w:rPr>
          <w:rFonts w:cs="David" w:hint="cs"/>
          <w:b/>
          <w:bCs/>
          <w:sz w:val="28"/>
          <w:szCs w:val="28"/>
          <w:u w:val="single"/>
          <w:rtl/>
        </w:rPr>
        <w:t>א</w:t>
      </w:r>
    </w:p>
    <w:p w:rsidR="009835EE" w:rsidRDefault="009835EE" w:rsidP="009835EE">
      <w:pPr>
        <w:jc w:val="both"/>
        <w:rPr>
          <w:rFonts w:cs="David"/>
          <w:sz w:val="28"/>
          <w:szCs w:val="28"/>
          <w:rtl/>
        </w:rPr>
      </w:pPr>
      <w:r>
        <w:rPr>
          <w:rFonts w:cs="David" w:hint="cs"/>
          <w:sz w:val="28"/>
          <w:szCs w:val="28"/>
          <w:rtl/>
        </w:rPr>
        <w:t>בניסן תשע"ו הופיעה בביה"ד הרבני בפ"ת אשה שגוירה ע"י הרב יחזקאל לוקשטיין מרבני הזרם האורטודוקסי המודרני בארה"ב ועתרה לפניו לאשר את יהדותה ולאפשר לה להינשא ליהודי כדמו"י. דיין מביה"ד הרבני הרה"ג הרב ינאי אריאל שליט"א לאחר שבדק את סמכותו וכשירותו של הרב י. לוקשטיין לגייר את המבקשת, הגיע למסקנה ופסק, שאינו יכול לאשר את תוקף תעודת הגיור של הרב הנ"ל ואת יהדותה, ודחה את בקשתם של האשה והישראל להינשא כדמו"י. הרב יחזקאל לוקשטיין זעם על פסיקתו של ביה"ד הרבני בפ"ת ובאמצעי תקשורת שונים בישראל תקף בלשון בוטה, גסה ויהירה את דיין בית הדין הרבני בפ"ת, ומתח עליו בקורת הלכתית קשה שלדעתו פסיקתו והתנהלותו כלפי אותה אשה מנוגדות להלכה. [להלן יתברר שהרב לוקשטיין חלה עליו ההגדרה שלא הגיע להוראה ומורה והוא מגלה פנים בתורה שלא כהלכה].</w:t>
      </w:r>
    </w:p>
    <w:p w:rsidR="009835EE" w:rsidRDefault="009835EE" w:rsidP="009835EE">
      <w:pPr>
        <w:jc w:val="both"/>
        <w:rPr>
          <w:rFonts w:cs="David"/>
          <w:sz w:val="28"/>
          <w:szCs w:val="28"/>
          <w:rtl/>
        </w:rPr>
      </w:pPr>
      <w:r>
        <w:rPr>
          <w:rFonts w:cs="David" w:hint="cs"/>
          <w:sz w:val="28"/>
          <w:szCs w:val="28"/>
          <w:rtl/>
        </w:rPr>
        <w:t>הרב לוקשטיין פונה לאנשי צבור מרכזיים בישראל כיו"ר הכנסת יולי אדלשטיין ויו"ר האופוזיציה יצחק הרצוג [שקשורים אליו מהכרות אישית וקשרי ידידות] שיפנו לרבנים הראשים לישראל להתערב בהליכים המתנהלים בבתי הדין ע"מ לשנות את פסיקתם.</w:t>
      </w:r>
    </w:p>
    <w:p w:rsidR="009835EE" w:rsidRDefault="009835EE" w:rsidP="009835EE">
      <w:pPr>
        <w:jc w:val="both"/>
        <w:rPr>
          <w:rFonts w:cs="David"/>
          <w:sz w:val="28"/>
          <w:szCs w:val="28"/>
          <w:rtl/>
        </w:rPr>
      </w:pPr>
      <w:r>
        <w:rPr>
          <w:rFonts w:cs="David" w:hint="cs"/>
          <w:sz w:val="28"/>
          <w:szCs w:val="28"/>
          <w:rtl/>
        </w:rPr>
        <w:t>ובמקביל לפעילות זו הרב לוקשטיין פונה ליו"ר מכון עיתים הרב ד"ר שאול פרבר שיסייעו בהגשת ערעור בפני ביה"ד הרבני הגדול לבטול פסיקתו של בית הדין הרבני בפ"ת.</w:t>
      </w:r>
    </w:p>
    <w:p w:rsidR="009835EE" w:rsidRDefault="009835EE" w:rsidP="009835EE">
      <w:pPr>
        <w:jc w:val="both"/>
        <w:rPr>
          <w:rFonts w:cs="David"/>
          <w:sz w:val="28"/>
          <w:szCs w:val="28"/>
          <w:rtl/>
        </w:rPr>
      </w:pPr>
      <w:r>
        <w:rPr>
          <w:rFonts w:cs="David" w:hint="cs"/>
          <w:sz w:val="28"/>
          <w:szCs w:val="28"/>
          <w:rtl/>
        </w:rPr>
        <w:t>[יצויין שהרב ד"ר זאב פרבר מאחריו קופה של שרצים ופעילות עניפה במסגרות בתי הדין הרבנים ובבג"צ לפגוע בעקרונות ההלכה שעל שמירתם מופקדים רבנים מרכזיים במרכזי ארץ ישראל, ופעולותיו בבתי הדין לשיבוש הליכי משפטי התורה בנושאים מרכזים הקשורים בקדושת עם ישראל כנושאי גיור, קדושת המשפחה שקשורים בעניני נישואי כהן וגרושה, ובנושאי טהרת המשפחה, ופעילותו בכנסת בהצעות חוק שיש בהם עקירת יסודות קדושת ישראל, ובתחומים שונים שפוגעים קשה בדמותו של עם ישראל וקדושתו בעם היושב בציון.</w:t>
      </w:r>
    </w:p>
    <w:p w:rsidR="009835EE" w:rsidRDefault="009835EE" w:rsidP="009835EE">
      <w:pPr>
        <w:jc w:val="both"/>
        <w:rPr>
          <w:rFonts w:cs="David"/>
          <w:sz w:val="28"/>
          <w:szCs w:val="28"/>
          <w:u w:val="single"/>
          <w:rtl/>
        </w:rPr>
      </w:pPr>
      <w:r>
        <w:rPr>
          <w:rFonts w:cs="David" w:hint="cs"/>
          <w:sz w:val="28"/>
          <w:szCs w:val="28"/>
          <w:rtl/>
        </w:rPr>
        <w:t xml:space="preserve">בשנת 2010 יוצא בארה"ב מסמך עליו חתמו עשרות רבנים אורטודוקסים </w:t>
      </w:r>
      <w:r>
        <w:rPr>
          <w:rFonts w:cs="David" w:hint="cs"/>
          <w:sz w:val="28"/>
          <w:szCs w:val="28"/>
          <w:u w:val="single"/>
          <w:rtl/>
        </w:rPr>
        <w:t>מישראל</w:t>
      </w:r>
      <w:r>
        <w:rPr>
          <w:rFonts w:cs="David" w:hint="cs"/>
          <w:sz w:val="28"/>
          <w:szCs w:val="28"/>
          <w:rtl/>
        </w:rPr>
        <w:t xml:space="preserve"> מארצות הברית שעוסק ביחס ההלכה והיחס החברתי הראוי כלפי החד מינים (הומוסקסואלים) וקובע עקרונות הלכתיים. מבין הרבנים החותמים מארה"ב חתום </w:t>
      </w:r>
      <w:r>
        <w:rPr>
          <w:rFonts w:cs="David" w:hint="cs"/>
          <w:sz w:val="28"/>
          <w:szCs w:val="28"/>
          <w:u w:val="single"/>
          <w:rtl/>
        </w:rPr>
        <w:t>הרב יחזקאל לוקשטיין</w:t>
      </w:r>
      <w:r>
        <w:rPr>
          <w:rFonts w:cs="David" w:hint="cs"/>
          <w:sz w:val="28"/>
          <w:szCs w:val="28"/>
          <w:rtl/>
        </w:rPr>
        <w:t xml:space="preserve"> ומישראל חתום </w:t>
      </w:r>
      <w:r>
        <w:rPr>
          <w:rFonts w:cs="David" w:hint="cs"/>
          <w:sz w:val="28"/>
          <w:szCs w:val="28"/>
          <w:u w:val="single"/>
          <w:rtl/>
        </w:rPr>
        <w:t>הרב ד"ר שאול פרבר].</w:t>
      </w:r>
    </w:p>
    <w:p w:rsidR="009835EE" w:rsidRPr="00834E56" w:rsidRDefault="009835EE" w:rsidP="009835EE">
      <w:pPr>
        <w:jc w:val="both"/>
        <w:rPr>
          <w:rFonts w:cs="David"/>
          <w:sz w:val="28"/>
          <w:szCs w:val="28"/>
          <w:rtl/>
        </w:rPr>
      </w:pPr>
      <w:r w:rsidRPr="00834E56">
        <w:rPr>
          <w:rFonts w:cs="David" w:hint="cs"/>
          <w:sz w:val="28"/>
          <w:szCs w:val="28"/>
          <w:rtl/>
        </w:rPr>
        <w:t>[בידי מסמכים המאשרים את כל האמור]</w:t>
      </w:r>
      <w:r>
        <w:rPr>
          <w:rFonts w:cs="David" w:hint="cs"/>
          <w:sz w:val="28"/>
          <w:szCs w:val="28"/>
          <w:rtl/>
        </w:rPr>
        <w:t>.</w:t>
      </w:r>
    </w:p>
    <w:p w:rsidR="009835EE" w:rsidRDefault="009835EE" w:rsidP="009835EE">
      <w:pPr>
        <w:jc w:val="both"/>
        <w:rPr>
          <w:rFonts w:cs="David"/>
          <w:sz w:val="28"/>
          <w:szCs w:val="28"/>
          <w:rtl/>
        </w:rPr>
      </w:pPr>
      <w:r>
        <w:rPr>
          <w:rFonts w:cs="David" w:hint="cs"/>
          <w:sz w:val="28"/>
          <w:szCs w:val="28"/>
          <w:rtl/>
        </w:rPr>
        <w:t>בחודש תמוז תשע"ו מגיש הרב ד"ר פרבר ערעור על פסק דינו של ביה"ד בפ"ת בשם הרב לוקשטיין ובשם האשה (המבקשת) בפני בית הדין הגדול בהרכב הדיינים הגר"נ גורטלר שליט"א, הגר"י אלמליח והגר"מ נהרי שליט"א (ששנים מהם מונו למנוי קבוע בביה"ד הגדול) לבטל את פסיקתו של ביה"ד בפ"ת לאשר את גיורו של הרב לוקשטיין ולאפשר לאשה (המבקשת) להינשא לישראל.</w:t>
      </w:r>
    </w:p>
    <w:p w:rsidR="009835EE" w:rsidRDefault="009835EE" w:rsidP="009835EE">
      <w:pPr>
        <w:jc w:val="both"/>
        <w:rPr>
          <w:rFonts w:cs="David"/>
          <w:sz w:val="28"/>
          <w:szCs w:val="28"/>
          <w:rtl/>
        </w:rPr>
      </w:pPr>
      <w:r>
        <w:rPr>
          <w:rFonts w:cs="David" w:hint="cs"/>
          <w:sz w:val="28"/>
          <w:szCs w:val="28"/>
          <w:rtl/>
        </w:rPr>
        <w:t>לאחר דיונים ועיון במסמכים מהם יש להגיע למסקנה הלכתית חד משמעית שהרב י. לוקשטיין מגלה פנים בתורה שלא כהלכה ומתעלם במזיד מפסיקה חד משמעית של השו"ע והפוסקים שע"פ הגדרת הפוסקים יש להגדירו ככופר וממילא הוא פסול להיות דיין בבי"ד לגייר אל פי השו"ע ובהעדר בי"ד אין תוקף לגיור והמבקשת נשארה נכרית.</w:t>
      </w:r>
    </w:p>
    <w:p w:rsidR="009835EE" w:rsidRDefault="009835EE" w:rsidP="009835EE">
      <w:pPr>
        <w:jc w:val="both"/>
        <w:rPr>
          <w:rFonts w:cs="David"/>
          <w:sz w:val="28"/>
          <w:szCs w:val="28"/>
          <w:rtl/>
        </w:rPr>
      </w:pPr>
      <w:r>
        <w:rPr>
          <w:rFonts w:cs="David" w:hint="cs"/>
          <w:sz w:val="28"/>
          <w:szCs w:val="28"/>
          <w:rtl/>
        </w:rPr>
        <w:t>[להלן נברר בהרחבה כל הברור ההלכתי על פיו יש להגדירו וכן על פי ברורים נוספים, שעקרון קבלת עול תורה ומצות מהוה את המרכיב המרכזי לחלות הגיור לו קיים בבי"ד של הרב לוקשטיין].</w:t>
      </w:r>
    </w:p>
    <w:p w:rsidR="009835EE" w:rsidRDefault="009835EE" w:rsidP="009835EE">
      <w:pPr>
        <w:jc w:val="both"/>
        <w:rPr>
          <w:rFonts w:cs="David"/>
          <w:sz w:val="28"/>
          <w:szCs w:val="28"/>
          <w:rtl/>
        </w:rPr>
      </w:pPr>
      <w:r>
        <w:rPr>
          <w:rFonts w:cs="David" w:hint="cs"/>
          <w:sz w:val="28"/>
          <w:szCs w:val="28"/>
          <w:rtl/>
        </w:rPr>
        <w:t>לכן ביה"ד פסק פה אחד שע"מ שתוכל האשה המבקשת להינשא לישראל עליה לעבור גיור כדמו"י מחדש בקבלת מצות מלאה בפני ביה"ד ובטבילת גיור כדמו"י בפני בי"ד של שלשה.</w:t>
      </w:r>
    </w:p>
    <w:p w:rsidR="009835EE" w:rsidRDefault="009835EE" w:rsidP="009835EE">
      <w:pPr>
        <w:jc w:val="both"/>
        <w:rPr>
          <w:rFonts w:cs="David"/>
          <w:sz w:val="28"/>
          <w:szCs w:val="28"/>
          <w:rtl/>
        </w:rPr>
      </w:pPr>
      <w:r>
        <w:rPr>
          <w:rFonts w:cs="David" w:hint="cs"/>
          <w:sz w:val="28"/>
          <w:szCs w:val="28"/>
          <w:rtl/>
        </w:rPr>
        <w:t xml:space="preserve">יש לציין שלאחר פסיקתו של ביה"ד הרבני הגדול מ </w:t>
      </w:r>
      <w:r>
        <w:rPr>
          <w:rFonts w:cs="David"/>
          <w:sz w:val="28"/>
          <w:szCs w:val="28"/>
          <w:rtl/>
        </w:rPr>
        <w:t>–</w:t>
      </w:r>
      <w:r>
        <w:rPr>
          <w:rFonts w:cs="David" w:hint="cs"/>
          <w:sz w:val="28"/>
          <w:szCs w:val="28"/>
          <w:rtl/>
        </w:rPr>
        <w:t xml:space="preserve"> 28.6.2016 מפרסם הד"ר הרב פרבר זאב מאמר בעיתון יהודי בארה"ב התקפה קשה על פסיקת בית הדין הרבני הגדול על מוסד הרבנות ומצהיר שדחיית גיוריו של הרב לוקשטיין ע"י בתי הדין הרבנים מעוררת מחדש את השאלה מי הוא יהודי ופנה לממשלת ישראל שהיא תקח את האחריות על שאלת היסוד של הזהות היהודית וזאת משום שהוא אבד את האמון ברבנות הראשית כמעצבת את יהדות עם ישראל ועדין מאמין שממשלת מדינת ישראל השלטיון החילוני הוא מעצב את הגדרת יהדותו של עם ישראל במדינת ישראל ובקשר לקהילות הגולה עמדות אלו של הרבצ"ר זאב פרבר מאפיינת את כל העקרונות של התנועה הרפורמית בישראל ובעולם היהודי כולו.</w:t>
      </w:r>
    </w:p>
    <w:p w:rsidR="009835EE" w:rsidRDefault="009835EE" w:rsidP="009835EE">
      <w:pPr>
        <w:jc w:val="both"/>
        <w:rPr>
          <w:rFonts w:cs="David"/>
          <w:sz w:val="28"/>
          <w:szCs w:val="28"/>
          <w:rtl/>
        </w:rPr>
      </w:pPr>
      <w:r>
        <w:rPr>
          <w:rFonts w:cs="David" w:hint="cs"/>
          <w:sz w:val="28"/>
          <w:szCs w:val="28"/>
          <w:rtl/>
        </w:rPr>
        <w:t xml:space="preserve">ב </w:t>
      </w:r>
      <w:r>
        <w:rPr>
          <w:rFonts w:cs="David"/>
          <w:sz w:val="28"/>
          <w:szCs w:val="28"/>
          <w:rtl/>
        </w:rPr>
        <w:t>–</w:t>
      </w:r>
      <w:r>
        <w:rPr>
          <w:rFonts w:cs="David" w:hint="cs"/>
          <w:sz w:val="28"/>
          <w:szCs w:val="28"/>
          <w:rtl/>
        </w:rPr>
        <w:t xml:space="preserve"> 20.1.2014 מתפרסם בעתונות יהודית בארה"ב פסקי הלכה של הרב יחזקאל לוקשטיין עוד משנת 1990 כאשר נשאל ע"י סטודנטיות האם יכולות להניח תפילין בתפילת הבוקר, באותו זמן פסק להם שהן תוכלנה להניח בתפילת הבוקר בביהכנ"ס קהילת ישורון שהוא קהילתו של הרב לוקשטיין שנמצא בסמוך לתיכון הדתי לבנות. באותו זמן לא התיר לה שתניח תפילין במנין התפילה שבתיכון הדתי רמז שבנשיאותו, ובשנת 2002 פנו אליו שתי סטודנטיות להתיר להן להניח תפילין במסגרת תפילין שחרית בביהכ"נ שלו קהילת ישורון ולא במסגרת התפילות היומיות שמתקיימות במנין הקבוע בסמינר. ותאריך של 1/20/2014 הצהיר הרב לוקשטיין בראיון טלפון לעיתון היהודי גלייש סקוול שהוא מסכים שכל אשה צעירה שרוצה </w:t>
      </w:r>
      <w:r>
        <w:rPr>
          <w:rFonts w:cs="David" w:hint="cs"/>
          <w:sz w:val="28"/>
          <w:szCs w:val="28"/>
          <w:u w:val="single"/>
          <w:rtl/>
        </w:rPr>
        <w:t>להניח תפילין ולהתעטף בטלית</w:t>
      </w:r>
      <w:r>
        <w:rPr>
          <w:rFonts w:cs="David" w:hint="cs"/>
          <w:sz w:val="28"/>
          <w:szCs w:val="28"/>
          <w:rtl/>
        </w:rPr>
        <w:t xml:space="preserve"> היא יכולה לעשות זאת במסגרת המנין שמתקיים בתיכון הבנות "רמז" שבנשיאותו ובכלל קבע באותו ראיון שכל סטודנטית בכוונת אמת רוצה להניח תפילין יש לאפשר לה להניח תפילין בפרהסיה </w:t>
      </w:r>
      <w:r>
        <w:rPr>
          <w:rFonts w:cs="David" w:hint="cs"/>
          <w:sz w:val="28"/>
          <w:szCs w:val="28"/>
          <w:u w:val="single"/>
          <w:rtl/>
        </w:rPr>
        <w:t>וטוב הדבר</w:t>
      </w:r>
      <w:r>
        <w:rPr>
          <w:rFonts w:cs="David" w:hint="cs"/>
          <w:sz w:val="28"/>
          <w:szCs w:val="28"/>
          <w:rtl/>
        </w:rPr>
        <w:t>.</w:t>
      </w:r>
    </w:p>
    <w:p w:rsidR="009835EE" w:rsidRDefault="009835EE" w:rsidP="009835EE">
      <w:pPr>
        <w:jc w:val="both"/>
        <w:rPr>
          <w:rFonts w:cs="David"/>
          <w:sz w:val="28"/>
          <w:szCs w:val="28"/>
          <w:rtl/>
        </w:rPr>
      </w:pPr>
      <w:r>
        <w:rPr>
          <w:rFonts w:cs="David" w:hint="cs"/>
          <w:sz w:val="28"/>
          <w:szCs w:val="28"/>
          <w:rtl/>
        </w:rPr>
        <w:t xml:space="preserve">הרב לוקשטיין (ושאר חבריו כגון אבי וייס) מתעלמים </w:t>
      </w:r>
      <w:r>
        <w:rPr>
          <w:rFonts w:cs="David" w:hint="cs"/>
          <w:sz w:val="28"/>
          <w:szCs w:val="28"/>
          <w:u w:val="single"/>
          <w:rtl/>
        </w:rPr>
        <w:t>בזדון</w:t>
      </w:r>
      <w:r>
        <w:rPr>
          <w:rFonts w:cs="David" w:hint="cs"/>
          <w:sz w:val="28"/>
          <w:szCs w:val="28"/>
          <w:rtl/>
        </w:rPr>
        <w:t xml:space="preserve"> מפסיקת הלכה חד משמעית בשו"ע או"ח הל' תפילין סי' ל"ח ה"ג בדברי הרמ"א "ואם הנשים רוצין להחמיר על עצמן מוחין בידן". וכתב שם במ"ב אות י"ג שמוחין בידן מפני שצריכין גוף נקי ונשים אין זריזות להיזהר".</w:t>
      </w:r>
    </w:p>
    <w:p w:rsidR="009835EE" w:rsidRDefault="009835EE" w:rsidP="009835EE">
      <w:pPr>
        <w:jc w:val="both"/>
        <w:rPr>
          <w:rFonts w:cs="David"/>
          <w:sz w:val="28"/>
          <w:szCs w:val="28"/>
          <w:rtl/>
        </w:rPr>
      </w:pPr>
      <w:r>
        <w:rPr>
          <w:rFonts w:cs="David" w:hint="cs"/>
          <w:sz w:val="28"/>
          <w:szCs w:val="28"/>
          <w:rtl/>
        </w:rPr>
        <w:t>וכן כתבו בתוס' מס' ערובין דף צ"ו ע"א ד"ה  מכל שצריך למחות מביא דברי הפסיקתא רבתי דר' חזקיה בשם ר' אבהו אמרו אשתו של יונה הושבה, ומיכל בת כושי שהיתה מנחת תפילין מיחו בה חכמים וכתבו שם משום דתפילין צריכים גוף נקי ונשים אין זריזות ליזהר [יש לציין ולהדגיש שזה לא דין מיוחד בנשים שכן חובת הזהירות במצות הנחת תפילין נאמרת גם באנשים הלכה מפורשת בשו"ע הל' תפילין סי' ל"ז סעיף ב' מצותם להיותם עליו כל היום אבל מפני שצריכים גוף נקי שלא יפיח בהם ושלא יסיח דעתו מהם, ואין כל אדם יכול ליזהר בהם, נהגו שלא להניחם כל היום. מכל מקום צריך אדם ליזהר בהם להיותם עליו בקריאת שמע ותפילה (עיין בבאור הלכה שם ד"ה מצותן שבאה גדרי המצוה להנחתם כלל היום אם מדאוריתא אם מדרבנן).</w:t>
      </w:r>
    </w:p>
    <w:p w:rsidR="009835EE" w:rsidRDefault="009835EE" w:rsidP="009835EE">
      <w:pPr>
        <w:jc w:val="both"/>
        <w:rPr>
          <w:rFonts w:cs="David"/>
          <w:sz w:val="28"/>
          <w:szCs w:val="28"/>
          <w:rtl/>
        </w:rPr>
      </w:pPr>
      <w:r>
        <w:rPr>
          <w:rFonts w:cs="David" w:hint="cs"/>
          <w:sz w:val="28"/>
          <w:szCs w:val="28"/>
          <w:rtl/>
        </w:rPr>
        <w:t>הרי שהדין שלמרות שהחובה אם מדאוריתא אם מדרבנן להניחם כל היום מחמת החובה היתירה לשמירת קדושת התפילין להנחתם על גוף נקי נהגו להניחם רק בשעת תפילה וקריאת שמע. והמחאה המיוחדת שנקבע בהלכה לנשים שלא יניחו תפילין מחמת זהירות של גוף נקי נובעת בגלל המציאות הפיזיולוגית המיוחדת שקיימת אצל נשים שאינן יכולות באופן רצוף להיות זהירות ושאר דברים שקיים אצל הנשים שבע"כ אינם יכולות לשמור על נקיות כגון בטיפול בתינוקות וילדים לנקיותם.</w:t>
      </w:r>
    </w:p>
    <w:p w:rsidR="009835EE" w:rsidRDefault="009835EE" w:rsidP="009835EE">
      <w:pPr>
        <w:jc w:val="both"/>
        <w:rPr>
          <w:rFonts w:cs="David"/>
          <w:sz w:val="28"/>
          <w:szCs w:val="28"/>
          <w:rtl/>
        </w:rPr>
      </w:pPr>
      <w:r>
        <w:rPr>
          <w:rFonts w:cs="David" w:hint="cs"/>
          <w:sz w:val="28"/>
          <w:szCs w:val="28"/>
          <w:rtl/>
        </w:rPr>
        <w:t xml:space="preserve">העיקרון שעומד מפסיקת השו"ע והפוסקים, שלא רק שאסור לאשה שרוצה להניח תפילין אפילו כשעושה זאת לשם שמים להתקרב לה' מחמת הקדושה היתירה של התפילין, אלא </w:t>
      </w:r>
      <w:r>
        <w:rPr>
          <w:rFonts w:cs="David" w:hint="cs"/>
          <w:sz w:val="28"/>
          <w:szCs w:val="28"/>
          <w:u w:val="single"/>
          <w:rtl/>
        </w:rPr>
        <w:t>מוחין בידה</w:t>
      </w:r>
      <w:r>
        <w:rPr>
          <w:rFonts w:cs="David" w:hint="cs"/>
          <w:sz w:val="28"/>
          <w:szCs w:val="28"/>
          <w:rtl/>
        </w:rPr>
        <w:t xml:space="preserve"> כלומר שחובה למחות ולא לאפשר לה להניח תפילין, כיון שאינם יכולות לשמר על קדושתם בשעת הנחתם על גופם.</w:t>
      </w:r>
    </w:p>
    <w:p w:rsidR="009835EE" w:rsidRDefault="009835EE" w:rsidP="009835EE">
      <w:pPr>
        <w:jc w:val="both"/>
        <w:rPr>
          <w:rFonts w:cs="David"/>
          <w:sz w:val="28"/>
          <w:szCs w:val="28"/>
          <w:rtl/>
        </w:rPr>
      </w:pPr>
      <w:r>
        <w:rPr>
          <w:rFonts w:cs="David" w:hint="cs"/>
          <w:sz w:val="28"/>
          <w:szCs w:val="28"/>
          <w:rtl/>
        </w:rPr>
        <w:t xml:space="preserve">בירושלמי ברכות פ"ב הג' מביאים את דברי ר' חזקיה בשם ר' אבהו מיכל בת כושי מיחו בידיה חכמים על שהניחה תפילין. ומסביר הפני משה שם ד"ה אשתו של יונה הטעם בדברי ר' חזקיה שלמיכל בת שאול מיחו בידיה לפי שפטורות הן ממצות עשה שהזמן גרמא, ומביא בפרוש בעל ספר חרדים (לר' אליעזר אזקרי) שהקשה התיבון היכי תני אין חייבות דמשמע שאם רצו עושות מי לא תנא מיכל בת שאול וכו' וכל היכי דתנא ולא מיחו איסורא איכא כהנהו ג' דברים בסוף פ"ד דפעמים דלא מיחו חכמים באנשי יריחו ופירוש המפרשים דאיסורא איכא ורבי חזקיה בשם רבי אבהו היה שונה דמיחו ותרץ שם בעל החרדים שהמחאה על מיכל בת שאול שהניחה תפילין היא גזירת חכמים מיוחדת. כשם שמצינו בהגהות הרי"ף מס' ר"ה (דף ט' ע"ב ברי"ף) דברי הריא"ז שכתב בזה"ל ... וכן אסור לנשים להניח תפילין אפי' בלא ברכה </w:t>
      </w:r>
      <w:r w:rsidRPr="00BE27FC">
        <w:rPr>
          <w:rFonts w:cs="David" w:hint="cs"/>
          <w:sz w:val="28"/>
          <w:szCs w:val="28"/>
          <w:u w:val="single"/>
          <w:rtl/>
        </w:rPr>
        <w:t>מפני שנראה כדרך החיצונים שעוברים על דברי חכמים, ואינם רוצים לדרוש המקראות כמותן</w:t>
      </w:r>
      <w:r>
        <w:rPr>
          <w:rFonts w:cs="David" w:hint="cs"/>
          <w:sz w:val="28"/>
          <w:szCs w:val="28"/>
          <w:rtl/>
        </w:rPr>
        <w:t xml:space="preserve">. עכ"ל. </w:t>
      </w:r>
    </w:p>
    <w:p w:rsidR="009835EE" w:rsidRDefault="009835EE" w:rsidP="009835EE">
      <w:pPr>
        <w:jc w:val="both"/>
        <w:rPr>
          <w:rFonts w:cs="David"/>
          <w:sz w:val="28"/>
          <w:szCs w:val="28"/>
          <w:rtl/>
        </w:rPr>
      </w:pPr>
      <w:r>
        <w:rPr>
          <w:rFonts w:cs="David" w:hint="cs"/>
          <w:sz w:val="28"/>
          <w:szCs w:val="28"/>
          <w:rtl/>
        </w:rPr>
        <w:t xml:space="preserve">ומוסיף על הדברים בעל ספר חרדים, ומטעמו אתה למד שכך דעתו בכל מצוה שהאשה פטורה, כלומר שגם אשה המבקשת להניח תפילין בניגוד לדברי חכמים ומתוך השקפת </w:t>
      </w:r>
      <w:r w:rsidRPr="005F5BAB">
        <w:rPr>
          <w:rFonts w:cs="David" w:hint="cs"/>
          <w:sz w:val="28"/>
          <w:szCs w:val="28"/>
          <w:u w:val="single"/>
          <w:rtl/>
        </w:rPr>
        <w:t>דרך החיצונים כצדוק, ביטוס או הקראים שאינם מקבלים את דרישת המקראות של חז"ל והפוסקים</w:t>
      </w:r>
      <w:r>
        <w:rPr>
          <w:rFonts w:cs="David" w:hint="cs"/>
          <w:sz w:val="28"/>
          <w:szCs w:val="28"/>
          <w:rtl/>
        </w:rPr>
        <w:t>.</w:t>
      </w:r>
    </w:p>
    <w:p w:rsidR="009835EE" w:rsidRDefault="009835EE" w:rsidP="009835EE">
      <w:pPr>
        <w:jc w:val="both"/>
        <w:rPr>
          <w:rFonts w:cs="David"/>
          <w:sz w:val="28"/>
          <w:szCs w:val="28"/>
          <w:rtl/>
        </w:rPr>
      </w:pPr>
      <w:r>
        <w:rPr>
          <w:rFonts w:cs="David" w:hint="cs"/>
          <w:sz w:val="28"/>
          <w:szCs w:val="28"/>
          <w:rtl/>
        </w:rPr>
        <w:t xml:space="preserve">הדברים כמובן מתאימים לנסיבות שאותם תלמידות סטודנטיות או בנות צעירות במוסדות הבנות שבנשיאותו שבקשו את פסק דינו ההלכתית לענין הנחת תפילין או התעטפות בטלית שהשקפת עולמם מבוססת על עקרון השויון בין איש ואשה שמהוה עקרון אוניברסלי נכרי שמנוגד לעקרונות תורת ישראל, מביאה אותם לרצות להיות שוות לאנשים במצות תפילין או טלית. למרות שיש בזה עקיפה ומרידה בהלכות מפורשות של חז"ל, השו"ע והפוסקים בכל הנוגע לתפילין והרב לוקשטיין פוסק להם בפרהסיה והם יכולות לעקור הלכות ובפרהסיה להניח תפילין או להתעטף בטלית. </w:t>
      </w:r>
    </w:p>
    <w:p w:rsidR="009835EE" w:rsidRDefault="009835EE" w:rsidP="009835EE">
      <w:pPr>
        <w:jc w:val="both"/>
        <w:rPr>
          <w:rFonts w:cs="David"/>
          <w:sz w:val="28"/>
          <w:szCs w:val="28"/>
          <w:rtl/>
        </w:rPr>
      </w:pPr>
      <w:r>
        <w:rPr>
          <w:rFonts w:cs="David" w:hint="cs"/>
          <w:sz w:val="28"/>
          <w:szCs w:val="28"/>
          <w:rtl/>
        </w:rPr>
        <w:t>יש להדגיש את שנתברר לעיל שאסור הנחת תפילין בגוף לא נקי מתבסס על מסגרת ההלכות שבאות לשמירת קדושת התפילין. הלכה זו של שמירת קדושת התפילין נאמרה הן לאנשים והן לנשים. יש לציין שהלכה שמוחין ביד נשים שרוצות להחמיר על עצמן להניח תפילין סמוכה לה שם בהלכה ד' "והמניח תפילין צריך ליזהר מהרהור תאות אשה".</w:t>
      </w:r>
    </w:p>
    <w:p w:rsidR="009835EE" w:rsidRDefault="009835EE" w:rsidP="009835EE">
      <w:pPr>
        <w:jc w:val="both"/>
        <w:rPr>
          <w:rFonts w:cs="David"/>
          <w:sz w:val="28"/>
          <w:szCs w:val="28"/>
          <w:rtl/>
        </w:rPr>
      </w:pPr>
      <w:r>
        <w:rPr>
          <w:rFonts w:cs="David" w:hint="cs"/>
          <w:sz w:val="28"/>
          <w:szCs w:val="28"/>
          <w:rtl/>
        </w:rPr>
        <w:t>ומביא שם המ"ב ס"ק י"ד את דברי הב"י דבעינן גוף נקי גם ממחשבה רעה", ושם מוסיף הרמ"א "ואם אי אפשר לו בלא הרהורים מוטב שלא להניחם. הלכה זו נאמרת בהלכות שמירת קדושת התפילין שלא לפגע ולחלל קדושת התפילין ע"י טומאת הרהורי העבירה.</w:t>
      </w:r>
    </w:p>
    <w:p w:rsidR="009835EE" w:rsidRDefault="009835EE" w:rsidP="009835EE">
      <w:pPr>
        <w:jc w:val="both"/>
        <w:rPr>
          <w:rFonts w:cs="David"/>
          <w:sz w:val="28"/>
          <w:szCs w:val="28"/>
          <w:rtl/>
        </w:rPr>
      </w:pPr>
      <w:r>
        <w:rPr>
          <w:rFonts w:cs="David" w:hint="cs"/>
          <w:sz w:val="28"/>
          <w:szCs w:val="28"/>
          <w:rtl/>
        </w:rPr>
        <w:t>שהרי עצם הרהורי עבירה אסור מהדין דלא תתורו אחרי לבבכם ואחרי עינכם אשר אתם זונים אחריהם, וכאשר מהרהרים הרהורי עבירה כאשר תפילין מונחים על ידו וראשו מתוסף אסור נוסף מיוחד של חלול ופגיעה בקדושת התפילין.</w:t>
      </w:r>
    </w:p>
    <w:p w:rsidR="009835EE" w:rsidRDefault="009835EE" w:rsidP="009835EE">
      <w:pPr>
        <w:jc w:val="both"/>
        <w:rPr>
          <w:rFonts w:cs="David"/>
          <w:sz w:val="28"/>
          <w:szCs w:val="28"/>
          <w:rtl/>
        </w:rPr>
      </w:pPr>
      <w:r>
        <w:rPr>
          <w:rFonts w:cs="David" w:hint="cs"/>
          <w:sz w:val="28"/>
          <w:szCs w:val="28"/>
          <w:rtl/>
        </w:rPr>
        <w:t xml:space="preserve">לאור האמור כאשר הרב לוקשטיין פוסק בהלכה בפרהסיה לאותם תלמידות וצעירות שהם יכולות להניח תפילין במסגרת התפילה הקבועה שמתנהל בבית הספר לבנות שבנשיאותו. </w:t>
      </w:r>
    </w:p>
    <w:p w:rsidR="009835EE" w:rsidRDefault="009835EE" w:rsidP="009835EE">
      <w:pPr>
        <w:jc w:val="both"/>
        <w:rPr>
          <w:rFonts w:cs="David"/>
          <w:sz w:val="28"/>
          <w:szCs w:val="28"/>
          <w:rtl/>
        </w:rPr>
      </w:pPr>
      <w:r>
        <w:rPr>
          <w:rFonts w:cs="David" w:hint="cs"/>
          <w:sz w:val="28"/>
          <w:szCs w:val="28"/>
          <w:rtl/>
        </w:rPr>
        <w:t xml:space="preserve">וכפי שהגדיר הרמב"ם פהמ"ש סנהדרין פי' מ"א וכן הרע"ב על אבות פ"ד מ' י"ד שאפיקורוס הוא מלשון הפקר וענינו שמפקיר ומבזה את התורה ולומדיה. ובאנציקלופדיה תלמודית כרך ב' ערך אפיקורוס מוגדר האפיקורוס </w:t>
      </w:r>
      <w:r>
        <w:rPr>
          <w:rFonts w:cs="David"/>
          <w:sz w:val="28"/>
          <w:szCs w:val="28"/>
          <w:rtl/>
        </w:rPr>
        <w:t>–</w:t>
      </w:r>
      <w:r>
        <w:rPr>
          <w:rFonts w:cs="David" w:hint="cs"/>
          <w:sz w:val="28"/>
          <w:szCs w:val="28"/>
          <w:rtl/>
        </w:rPr>
        <w:t xml:space="preserve"> המבזה מתוך הפקרות את התורה ולומדיה במעשים ובדעות". [כידוע שהגדרות של הערכים באנציקלופדיה התלמודית נמסרו בידי תלמידי חכמים וגדולי תורה מופלגים שידעו להגדיר בלשון שתמצא את מהות הערך על כל חלקיו], וכאמור פסיקה בפרהסיה תוך עקירת הלכה שנקבעה ונפסקה במפורש בשו"ע ע"י מעבירי התורה ופוסקיה יש בזה מעשה אפיקורסות וכשמעשה זה נעשה בפרהסיה יש בזה ביזוי התורה, כולל הלכות שנפסקו ע"י חכמי התורה שבעל"פ ומעביריה.</w:t>
      </w:r>
    </w:p>
    <w:p w:rsidR="009835EE" w:rsidRDefault="009835EE" w:rsidP="009835EE">
      <w:pPr>
        <w:jc w:val="both"/>
        <w:rPr>
          <w:rFonts w:cs="David"/>
          <w:sz w:val="28"/>
          <w:szCs w:val="28"/>
          <w:rtl/>
        </w:rPr>
      </w:pPr>
      <w:r>
        <w:rPr>
          <w:rFonts w:cs="David" w:hint="cs"/>
          <w:sz w:val="28"/>
          <w:szCs w:val="28"/>
          <w:rtl/>
        </w:rPr>
        <w:t>בהמשך להלן שפסיקה זו שנעשית בפרהסיה חל עליה ההגדרה של מגלה פנים בתורה שלא כהלכה" וכפי שכתב הרמב"ם שם בהלכות תשובה פ"ג הל' י"א העושה עברות ביד רמה כיהויקים בין שעשה קלות בין שעשה חמורות וזהו שנקרא מגלה פנים בתורה מפני שהעז מצחו וגלה פניו ולא בוש מדברי תורה כמו שנאמר בבמדבר ט"ו ל' והנפש אשר תעשה ביד רמה רמב"ם בפיה"מ אבות פ"ג מ' י"א.</w:t>
      </w:r>
    </w:p>
    <w:p w:rsidR="009835EE" w:rsidRDefault="009835EE" w:rsidP="009835EE">
      <w:pPr>
        <w:jc w:val="both"/>
        <w:rPr>
          <w:rFonts w:cs="David"/>
          <w:sz w:val="28"/>
          <w:szCs w:val="28"/>
          <w:rtl/>
        </w:rPr>
      </w:pPr>
      <w:r>
        <w:rPr>
          <w:rFonts w:cs="David" w:hint="cs"/>
          <w:sz w:val="28"/>
          <w:szCs w:val="28"/>
          <w:rtl/>
        </w:rPr>
        <w:t>וכאמור הדברים מתבארים בהרחבה להלן:</w:t>
      </w:r>
    </w:p>
    <w:p w:rsidR="009835EE" w:rsidRDefault="009835EE" w:rsidP="009835EE">
      <w:pPr>
        <w:jc w:val="both"/>
        <w:rPr>
          <w:rFonts w:cs="David"/>
          <w:sz w:val="28"/>
          <w:szCs w:val="28"/>
          <w:rtl/>
        </w:rPr>
      </w:pPr>
      <w:r>
        <w:rPr>
          <w:rFonts w:cs="David" w:hint="cs"/>
          <w:sz w:val="28"/>
          <w:szCs w:val="28"/>
          <w:rtl/>
        </w:rPr>
        <w:t>כמו כן במעשה פסיקתו זו לכל הסובבים והסובבות לאפשר לאותם תלמידות וצעירות להניח תפילין והתעלם מההלכה המפורשת בשו"ע שיש חובה למחות על האסור שנכשלות בו אותן נשים גם מדין חובת הוכח תוכיח את עמיתך מדין כל ישראל ערבין זל"ז גם מדין החילול ה' שיש בעשיה זו בפרהסיה וגם מדין חילול קדושת התפילין שיש בנחת התפילין כפי שנתבאר הדבר.</w:t>
      </w:r>
    </w:p>
    <w:p w:rsidR="009835EE" w:rsidRDefault="009835EE" w:rsidP="009835EE">
      <w:pPr>
        <w:jc w:val="both"/>
        <w:rPr>
          <w:rFonts w:cs="David"/>
          <w:sz w:val="28"/>
          <w:szCs w:val="28"/>
          <w:rtl/>
        </w:rPr>
      </w:pPr>
      <w:r>
        <w:rPr>
          <w:rFonts w:cs="David" w:hint="cs"/>
          <w:sz w:val="28"/>
          <w:szCs w:val="28"/>
          <w:rtl/>
        </w:rPr>
        <w:t>על הוראה זו של הרב לוקשטיין חלים דברי הרמב"ם שבהלכות תשובה פ"ג ה' י' "מחטיאי הרבים כיצד אחד שהחטיא בדבר גדול כגון ירבעם וצדוק וביטוס, ואחד שהחטיא בדבר קל, אפילו לבטל מצות עשה, וכתב בשערי תשובה שער ג' סימן נ"ב "ולפני עור לא תתן מכשול" (ויקרא י"ט י"ד) "הוזהרנו בזה שלא להורות את בני ישראל אשר לא כדת ושלא כהלכה ואמרו זכאים לברכה". ואמר לאותה אשה צעירה ששאלה האם יכולה להניח תפילין ולהתעטף בציצית שהיא יכולה להתפלל איתו במנין של בית הספר שלנו. יש בהוראה זו:</w:t>
      </w:r>
    </w:p>
    <w:p w:rsidR="009835EE" w:rsidRDefault="009835EE" w:rsidP="009835EE">
      <w:pPr>
        <w:pStyle w:val="a6"/>
        <w:numPr>
          <w:ilvl w:val="0"/>
          <w:numId w:val="1"/>
        </w:numPr>
        <w:jc w:val="both"/>
        <w:rPr>
          <w:rFonts w:cs="David"/>
          <w:sz w:val="28"/>
          <w:szCs w:val="28"/>
        </w:rPr>
      </w:pPr>
      <w:r>
        <w:rPr>
          <w:rFonts w:cs="David" w:hint="cs"/>
          <w:sz w:val="28"/>
          <w:szCs w:val="28"/>
          <w:rtl/>
        </w:rPr>
        <w:t>הוראה למרוד ולבטל הלכה שפסקו בשו"ע שאין מניחים בידה.</w:t>
      </w:r>
    </w:p>
    <w:p w:rsidR="009835EE" w:rsidRDefault="009835EE" w:rsidP="009835EE">
      <w:pPr>
        <w:pStyle w:val="a6"/>
        <w:numPr>
          <w:ilvl w:val="0"/>
          <w:numId w:val="1"/>
        </w:numPr>
        <w:jc w:val="both"/>
        <w:rPr>
          <w:rFonts w:cs="David"/>
          <w:sz w:val="28"/>
          <w:szCs w:val="28"/>
        </w:rPr>
      </w:pPr>
      <w:r>
        <w:rPr>
          <w:rFonts w:cs="David" w:hint="cs"/>
          <w:sz w:val="28"/>
          <w:szCs w:val="28"/>
          <w:rtl/>
        </w:rPr>
        <w:t>הוראה לחלל ולפגוע בקדושת התפילין.</w:t>
      </w:r>
    </w:p>
    <w:p w:rsidR="009835EE" w:rsidRDefault="009835EE" w:rsidP="009835EE">
      <w:pPr>
        <w:jc w:val="both"/>
        <w:rPr>
          <w:rFonts w:cs="David"/>
          <w:sz w:val="28"/>
          <w:szCs w:val="28"/>
          <w:rtl/>
        </w:rPr>
      </w:pPr>
      <w:r>
        <w:rPr>
          <w:rFonts w:cs="David" w:hint="cs"/>
          <w:sz w:val="28"/>
          <w:szCs w:val="28"/>
          <w:rtl/>
        </w:rPr>
        <w:t xml:space="preserve">וכן בפסק בפרהסיה ההלכה לכל הסוגים וסובבות אותה לאפשר לאותה שהניחה תפילין להניחם בפומבי ושזה דבר טוב וראוי, למרות שההלכה הכתובה בשו"ע שמוחין ביד אותם נשים שרוצות להחמיר על עצמן שחובה למחות בידה וחובה זו הרי מוטלת על כל אחד ואחד למחות ביד עובר עבירה, ובתפילין יש חובה נוספת ומיוחדת למחות בידן, משום שיש בזה ביטוי של מרידה בפוסקים ומעבירי התורה של רב זה, ובפרהסיה מורה לעבור על איסורים מפורשים אלו. ברמב"ם הלכות תשובה פ"ג ה"ח, "... שלושה הם כופרים בתורה ... וכן הכופר בפרושה הוא תורה שבעל פה והמכחיש מגידה, כגון צדוק וביתוס והאומר שהבורא החליף מצוה זו במצוה אחרת וכבר בטלה תורה זו ... כל אחד משלושה אלו כופר בתורה. </w:t>
      </w:r>
    </w:p>
    <w:p w:rsidR="009835EE" w:rsidRDefault="009835EE" w:rsidP="009835EE">
      <w:pPr>
        <w:jc w:val="both"/>
        <w:rPr>
          <w:rFonts w:cs="David"/>
          <w:sz w:val="28"/>
          <w:szCs w:val="28"/>
          <w:rtl/>
        </w:rPr>
      </w:pPr>
      <w:r>
        <w:rPr>
          <w:rFonts w:cs="David" w:hint="cs"/>
          <w:sz w:val="28"/>
          <w:szCs w:val="28"/>
          <w:rtl/>
        </w:rPr>
        <w:t>להלן יובאו  דברי בעל האגרות משה הגר"מ פיינשטין זצוק"ל שהביא דברי הרמב"ם הנ"ל ביחס לאותם נשים שאננות (פמיניסטיות) שומרות מצות שכאשר מתפללות מתעטפות בטלית, שיש לראותם ככופרות וזאת מנמוק אחר לא של מחיקת הלכה משו"ע כפי שיתבאר להלן.</w:t>
      </w:r>
    </w:p>
    <w:p w:rsidR="009835EE" w:rsidRDefault="009835EE" w:rsidP="009835EE">
      <w:pPr>
        <w:jc w:val="both"/>
        <w:rPr>
          <w:rFonts w:cs="David"/>
          <w:sz w:val="28"/>
          <w:szCs w:val="28"/>
          <w:rtl/>
        </w:rPr>
      </w:pPr>
      <w:r>
        <w:rPr>
          <w:rFonts w:cs="David" w:hint="cs"/>
          <w:sz w:val="28"/>
          <w:szCs w:val="28"/>
          <w:rtl/>
        </w:rPr>
        <w:t>ע"פ דברי הרמב"ם יש לראות את הוראתו ופסיקתו של הרב לוקשטיין לנשים להניח תפילין ולהגדירו ככופר.</w:t>
      </w:r>
    </w:p>
    <w:p w:rsidR="009835EE" w:rsidRPr="007716E1" w:rsidRDefault="009835EE" w:rsidP="009835EE">
      <w:pPr>
        <w:jc w:val="both"/>
        <w:rPr>
          <w:rFonts w:cs="David"/>
          <w:sz w:val="28"/>
          <w:szCs w:val="28"/>
          <w:rtl/>
        </w:rPr>
      </w:pPr>
      <w:r>
        <w:rPr>
          <w:rFonts w:cs="David" w:hint="cs"/>
          <w:sz w:val="28"/>
          <w:szCs w:val="28"/>
          <w:rtl/>
        </w:rPr>
        <w:t>פרסום פסיקות אלו בפרהסיה ביד רמה יש להגדירו כאפיקורס. קובע המאירי סנהדרין ריש פ' י"א "... המחטיאים את הרבים אפילו לדברים קלים... והעושים עברות ביד רמה ובפרהסיה... והמגלה פנים בתורה שלא כהלכה גורמים להרוס התורה וכלם בכלל אפיקורסים.</w:t>
      </w:r>
    </w:p>
    <w:p w:rsidR="009835EE" w:rsidRDefault="009835EE" w:rsidP="009835EE">
      <w:pPr>
        <w:ind w:right="-142"/>
        <w:jc w:val="both"/>
        <w:rPr>
          <w:rFonts w:cs="David"/>
          <w:sz w:val="28"/>
          <w:szCs w:val="28"/>
          <w:rtl/>
        </w:rPr>
      </w:pPr>
      <w:r>
        <w:rPr>
          <w:rFonts w:cs="David" w:hint="cs"/>
          <w:sz w:val="28"/>
          <w:szCs w:val="28"/>
          <w:rtl/>
        </w:rPr>
        <w:t xml:space="preserve">הרמב"ם בהל' תשובה פ"ג ה' י"א מביא, שהעושה עבירות ביד רמה כיהויקים בין שעשה קלות, בין שעשה חמורות אין לו חלק. </w:t>
      </w:r>
      <w:r>
        <w:rPr>
          <w:rFonts w:cs="David" w:hint="cs"/>
          <w:sz w:val="28"/>
          <w:szCs w:val="28"/>
          <w:u w:val="single"/>
          <w:rtl/>
        </w:rPr>
        <w:t>וזה הוא הנקרא מגלה פנים בתורה מפני שהעיז מצחו וגילה פניו ולא בוש מדברי תורה</w:t>
      </w:r>
      <w:r>
        <w:rPr>
          <w:rFonts w:cs="David" w:hint="cs"/>
          <w:sz w:val="28"/>
          <w:szCs w:val="28"/>
          <w:rtl/>
        </w:rPr>
        <w:t>.</w:t>
      </w:r>
    </w:p>
    <w:p w:rsidR="009835EE" w:rsidRDefault="009835EE" w:rsidP="009835EE">
      <w:pPr>
        <w:ind w:right="-142"/>
        <w:jc w:val="both"/>
        <w:rPr>
          <w:rFonts w:cs="David"/>
          <w:sz w:val="28"/>
          <w:szCs w:val="28"/>
          <w:rtl/>
        </w:rPr>
      </w:pPr>
      <w:r>
        <w:rPr>
          <w:rFonts w:cs="David" w:hint="cs"/>
          <w:sz w:val="28"/>
          <w:szCs w:val="28"/>
          <w:u w:val="single"/>
          <w:rtl/>
        </w:rPr>
        <w:t>הרמב"ם בפרוש המשנה באבות פ"ג מ' י"א (י"ד) פרש</w:t>
      </w:r>
      <w:r>
        <w:rPr>
          <w:rFonts w:cs="David" w:hint="cs"/>
          <w:sz w:val="28"/>
          <w:szCs w:val="28"/>
          <w:rtl/>
        </w:rPr>
        <w:t xml:space="preserve"> את דברי ר' אלעזר המודעי "המחלל את הקדשים, והמבזה את המועדים, והמפר בריתו של אברהם אבינו, והמלבין פני חברו ברבים, והמגלה פנים בתורה, אף על פי שיש בידו מעשים טובים אין לו חלק לעולם הבא. כתוב ברמב"ם, "</w:t>
      </w:r>
      <w:r>
        <w:rPr>
          <w:rFonts w:cs="David" w:hint="cs"/>
          <w:sz w:val="28"/>
          <w:szCs w:val="28"/>
          <w:u w:val="single"/>
          <w:rtl/>
        </w:rPr>
        <w:t>והמגלה פנים בתורה</w:t>
      </w:r>
      <w:r>
        <w:rPr>
          <w:rFonts w:cs="David" w:hint="cs"/>
          <w:sz w:val="28"/>
          <w:szCs w:val="28"/>
          <w:rtl/>
        </w:rPr>
        <w:t xml:space="preserve">" – הוא העובר על מצוות התורה בפרהסיא ובפרסום וזהו תכלית הכפירה כמו שאומר יתעלה והנפש אשר תעשה ביד רמה (במדבר ט"ו ל') וענין מגלה פנים שמגלה פניו בעזות וזה לשונם בפירוש דבר זה והוא בגמ' פאה – ירושלמי פאה פ"א הל' א' – אמרו מגלה פנים בתורה העובר על דברי תורה בפרהסיה כיהויקים בין יאשיהו שלא כהרמב"ם שמביא את התנהגותו של יהויקים בן יאשיהו כדוגמא למגלה פנים בתורה שלא כהלכה עי' רש"י באבות שם מביא את הדב"י שמביא דוגמא את מנשה בן חזקיה [במדבר ט"ו] דברי רבי אליעזר המודעי הנ"ל מובאים בסנהדרין כט על הפסוקים כי דבר ה' בזה ושם בע"ד מבארת הגמ' מגלה פנים בתורה כגון מאי כגון מנשה בן חזקיה ומביאה הגמ' שם בראש העמוד המבארת במה מנשה בן חזקיה היה מגלה פנים דתר' והנפש אשר תעשה ביד רמה זה מנשה בן חזקיה שהיה יושב ודורש בהגדות של דופי, אמר, וכי לא היה לו למשה לכתוב אלא ואחות לוטן תמנע, ותמנע היתה פילגש לאליפז ומפרש שם רש"י, ד"ה לא היה למשה לכתוב אלא ואחות לוטן תמנע בתמי' דבר שאינו צריך הוא וכן המלגלג ואומר שכתבו משה שלא לצורך ולקמי' מפרש שהיינו מגלה פנים בתורה. </w:t>
      </w:r>
      <w:r>
        <w:rPr>
          <w:rFonts w:cs="David" w:hint="cs"/>
          <w:sz w:val="28"/>
          <w:szCs w:val="28"/>
          <w:u w:val="single"/>
          <w:rtl/>
        </w:rPr>
        <w:t>רש"י שם בפרקי אבות על דברי דר' אליעזר המודעי ד"ה והמגלה פנים בתורה שלא כהלכה,</w:t>
      </w:r>
      <w:r>
        <w:rPr>
          <w:rFonts w:cs="David" w:hint="cs"/>
          <w:sz w:val="28"/>
          <w:szCs w:val="28"/>
          <w:rtl/>
        </w:rPr>
        <w:t xml:space="preserve"> מביא את דברי הבבלי בסנהדרין הנ"ל לפרש את דברי ר' אלעזר המודעי שבין אותם שאין להם חלק בעולם הבא נמצא המגלה פנים בתורה שלא כהלכה. וכתב וז"ל, "דהיינו אפיקורוס כמנשה שהיה דורש אגדות של דופי למה לו למשה לכתוב ותמנע היתה פילגש זהו כי דבר ה' בזה". כלומר הלעג של מנשה על דברי התורה שמוסר משה שזהו דבר ה' ועל זה אומר הפסוק "כי דבר ה' בזה "רש"י מפרש את דברי הגמ' כי דבר ה' בזה בדוגמא שמביאה גמ' את מנשה שלעג ובז על מה שנכתב בתורה ואחות לוטן כנ"ל, כאשר בזה ביזה את התורה שהיא דבר ה'.</w:t>
      </w:r>
    </w:p>
    <w:p w:rsidR="009835EE" w:rsidRDefault="009835EE" w:rsidP="009835EE">
      <w:pPr>
        <w:ind w:right="-142"/>
        <w:jc w:val="both"/>
        <w:rPr>
          <w:rFonts w:cs="David"/>
          <w:sz w:val="28"/>
          <w:szCs w:val="28"/>
          <w:rtl/>
        </w:rPr>
      </w:pPr>
      <w:r>
        <w:rPr>
          <w:rFonts w:cs="David" w:hint="cs"/>
          <w:sz w:val="28"/>
          <w:szCs w:val="28"/>
          <w:u w:val="single"/>
          <w:rtl/>
        </w:rPr>
        <w:t>הרבינו יונה שם משנה י"א ד"ה והמגלה פנים בתורה</w:t>
      </w:r>
      <w:r>
        <w:rPr>
          <w:rFonts w:cs="David" w:hint="cs"/>
          <w:sz w:val="28"/>
          <w:szCs w:val="28"/>
          <w:rtl/>
        </w:rPr>
        <w:t xml:space="preserve"> – מגדיר את מהות החטא וחומרתו שקובע ר' אלעזר המודעי שאין לו חלק לעולם הבא שזה פרוש דברי הפסוק שהכרת תכרת הנפש וז"ל, "זה המעיז פניו כלפי התורה לעשות עבירות בפרהסיה והוא הדין למעיז פניו כלפי לומדיה"... הגדרת האסור של מגלה פנים בתורה שלא כהלכה שמעיז פניו לבזות את תורת ה' ומצות התורה.</w:t>
      </w:r>
    </w:p>
    <w:p w:rsidR="009835EE" w:rsidRDefault="009835EE" w:rsidP="009835EE">
      <w:pPr>
        <w:ind w:right="-142"/>
        <w:jc w:val="both"/>
        <w:rPr>
          <w:rFonts w:cs="David"/>
          <w:sz w:val="28"/>
          <w:szCs w:val="28"/>
          <w:rtl/>
        </w:rPr>
      </w:pPr>
      <w:r>
        <w:rPr>
          <w:rFonts w:cs="David" w:hint="cs"/>
          <w:sz w:val="28"/>
          <w:szCs w:val="28"/>
          <w:u w:val="single"/>
          <w:rtl/>
        </w:rPr>
        <w:t>ביד רמה סנהדרין צ"ט ע"ב ד"ה תר' והנפש אשר תעשה ביד רמה</w:t>
      </w:r>
      <w:r>
        <w:rPr>
          <w:rFonts w:cs="David" w:hint="cs"/>
          <w:sz w:val="28"/>
          <w:szCs w:val="28"/>
          <w:rtl/>
        </w:rPr>
        <w:t xml:space="preserve"> זה מנשה בן חזקיה שהיה מלך ועושה בפרהסיא במזיד והיה יושב ודורש באגדות של דופי כלומר לתת מום בתורה ולומר וכי לא היה למשה דבר הצריך לכתוב אלא ואחות לוטן תמנע ושם בד"ה פיסקא דמתני' והאפיקורוס מביא את דברי הגמ' המבזה ת"ח עצמו מגלה פנים בתורה, הוי כלומר שמעיז פניו כלפי (התורת) [תורת] ה' עצמה ושם שואלת הגמ' או הכי המגלה פנים בתורה עצמה דחמיר טפי מאי הוי ומפרקינן כגון מנשה בן חזקיה ומאי מגלה פנים בתורה שגילה בתורה פנים לומר שנכתב בה דבר שאינו צריך ולפירוש קמא כגון מנשה שהיה </w:t>
      </w:r>
      <w:r>
        <w:rPr>
          <w:rFonts w:cs="David" w:hint="cs"/>
          <w:sz w:val="28"/>
          <w:szCs w:val="28"/>
          <w:u w:val="single"/>
          <w:rtl/>
        </w:rPr>
        <w:t>מעיז פניו כלפי התורה עצמה</w:t>
      </w:r>
      <w:r>
        <w:rPr>
          <w:rFonts w:cs="David" w:hint="cs"/>
          <w:sz w:val="28"/>
          <w:szCs w:val="28"/>
          <w:rtl/>
        </w:rPr>
        <w:t>".</w:t>
      </w:r>
    </w:p>
    <w:p w:rsidR="009835EE" w:rsidRDefault="009835EE" w:rsidP="009835EE">
      <w:pPr>
        <w:ind w:right="-142"/>
        <w:jc w:val="both"/>
        <w:rPr>
          <w:rFonts w:cs="David"/>
          <w:sz w:val="28"/>
          <w:szCs w:val="28"/>
          <w:rtl/>
        </w:rPr>
      </w:pPr>
      <w:r>
        <w:rPr>
          <w:rFonts w:cs="David" w:hint="cs"/>
          <w:sz w:val="28"/>
          <w:szCs w:val="28"/>
          <w:rtl/>
        </w:rPr>
        <w:t>היד רמה מגדיר את חטאו של מנשה בן יאשיהו שהעיז פניו כלפי התורה עצמה ובזה בחטא חמור שביד רמה ובעזות מצח ביזה את דבר ה', בזה שגלה בתורה פנים ללעוג על דבר ה'.</w:t>
      </w:r>
    </w:p>
    <w:p w:rsidR="009835EE" w:rsidRDefault="009835EE" w:rsidP="009835EE">
      <w:pPr>
        <w:ind w:right="-142"/>
        <w:jc w:val="both"/>
        <w:rPr>
          <w:rFonts w:cs="David"/>
          <w:sz w:val="28"/>
          <w:szCs w:val="28"/>
          <w:rtl/>
        </w:rPr>
      </w:pPr>
      <w:r>
        <w:rPr>
          <w:rFonts w:cs="David" w:hint="cs"/>
          <w:sz w:val="28"/>
          <w:szCs w:val="28"/>
          <w:rtl/>
        </w:rPr>
        <w:t xml:space="preserve">על פי שיטות הרש"י והיד רמה, חומרת העבירה של גילוי פנים בתורה שלא כהלכה כמובא בבבלי התנהגותו מנשה בן יאשיהו שלעג על התורה דבר ה' כפי שמובאים דברי הרמב"ם הן ביד החזקה והן בפרוש המשנה את דברי ר' אלעזר המודעי שכולל את המגלה פנים בתורה שלא כהלכה כמי שנכלל במי שדבר ה' ביזה ואין לו חלק לעולם הבא. את דברי הירושלמי בפאה הנ"ל אמרו מגלה פנים בתורה העובר על דברי תורה </w:t>
      </w:r>
      <w:r>
        <w:rPr>
          <w:rFonts w:cs="David" w:hint="cs"/>
          <w:sz w:val="28"/>
          <w:szCs w:val="28"/>
          <w:u w:val="single"/>
          <w:rtl/>
        </w:rPr>
        <w:t>בפרהסיא</w:t>
      </w:r>
      <w:r>
        <w:rPr>
          <w:rFonts w:cs="David" w:hint="cs"/>
          <w:sz w:val="28"/>
          <w:szCs w:val="28"/>
          <w:rtl/>
        </w:rPr>
        <w:t xml:space="preserve"> כיהויקים בן יאשיהו".</w:t>
      </w:r>
    </w:p>
    <w:p w:rsidR="009835EE" w:rsidRDefault="009835EE" w:rsidP="009835EE">
      <w:pPr>
        <w:ind w:right="-142"/>
        <w:jc w:val="both"/>
        <w:rPr>
          <w:rFonts w:cs="David"/>
          <w:sz w:val="28"/>
          <w:szCs w:val="28"/>
          <w:rtl/>
        </w:rPr>
      </w:pPr>
      <w:r>
        <w:rPr>
          <w:rFonts w:cs="David" w:hint="cs"/>
          <w:sz w:val="28"/>
          <w:szCs w:val="28"/>
          <w:rtl/>
        </w:rPr>
        <w:t>צריך עיון מדוע הרמב"ם העדיף לצורך הגדרת מגלה פנים בתורה לקביעת הלכה ביד החזקה את דברי הירושלמי ולא הביא את הבבלי בסנהדרין שמנשה בן חזקיה שהתייחסותו לדבר ה' מוגדרת כמגלה פנים בתורה שלא כהלכה.</w:t>
      </w:r>
    </w:p>
    <w:p w:rsidR="009835EE" w:rsidRDefault="009835EE" w:rsidP="009835EE">
      <w:pPr>
        <w:ind w:right="-142"/>
        <w:jc w:val="both"/>
        <w:rPr>
          <w:rFonts w:cs="David"/>
          <w:sz w:val="28"/>
          <w:szCs w:val="28"/>
          <w:rtl/>
        </w:rPr>
      </w:pPr>
      <w:r>
        <w:rPr>
          <w:rFonts w:cs="David" w:hint="cs"/>
          <w:sz w:val="28"/>
          <w:szCs w:val="28"/>
          <w:u w:val="single"/>
          <w:rtl/>
        </w:rPr>
        <w:t>יש לציין שהרמב"ם במורה נבוכים חלק ג' פ"נ מביא את דברי הגמ' בסנהדרין</w:t>
      </w:r>
      <w:r>
        <w:rPr>
          <w:rFonts w:cs="David" w:hint="cs"/>
          <w:sz w:val="28"/>
          <w:szCs w:val="28"/>
          <w:rtl/>
        </w:rPr>
        <w:t xml:space="preserve"> שמתארת את התייחסותו של מנשה בעוות תורת ה' בדרך של ביזוי הרמב"ם שם כותב בזה"ל, "יש כאן דברים שהם סתרי תורה גם כן כבר נכשלו בהם רבים וצריך לבאר, והם אלו הספורים אשר ספרו בתורה אשר יחשבו רבים שאין תועלת בזכרם... וכבר ידעת אמרם שמנשה הרשע לא היה מרבה מושבותיו הפחותים רק בדקדוקי אלו המקומות. אמרו [סנהדרין צ"ט] היה יושב ודורש בהגדות של דופי, היה אומר לא היה למשה לכתוב אלא ואחות לוטן וגו'.</w:t>
      </w:r>
    </w:p>
    <w:p w:rsidR="009835EE" w:rsidRDefault="009835EE" w:rsidP="009835EE">
      <w:pPr>
        <w:ind w:right="-142"/>
        <w:jc w:val="both"/>
        <w:rPr>
          <w:rFonts w:cs="David"/>
          <w:sz w:val="28"/>
          <w:szCs w:val="28"/>
          <w:rtl/>
        </w:rPr>
      </w:pPr>
      <w:r>
        <w:rPr>
          <w:rFonts w:cs="David" w:hint="cs"/>
          <w:sz w:val="28"/>
          <w:szCs w:val="28"/>
          <w:rtl/>
        </w:rPr>
        <w:t>ובהמשך שם כותב הרמב"ם ומסביר בזה"ל, "שספור בני שעיר ויחסם בפרט הוא מפני מצוה אחת והוא שהאלוק ית' צוה למחות זרע עמלק בלבד ועמלק אמנם היה בן אליעז בן תמנע אחות לוטן אך שאר בנו עשו לא צוה להרגם".</w:t>
      </w:r>
    </w:p>
    <w:p w:rsidR="009835EE" w:rsidRDefault="009835EE" w:rsidP="009835EE">
      <w:pPr>
        <w:ind w:right="-142"/>
        <w:jc w:val="both"/>
        <w:rPr>
          <w:rFonts w:cs="David"/>
          <w:sz w:val="28"/>
          <w:szCs w:val="28"/>
          <w:rtl/>
        </w:rPr>
      </w:pPr>
      <w:r>
        <w:rPr>
          <w:rFonts w:cs="David" w:hint="cs"/>
          <w:sz w:val="28"/>
          <w:szCs w:val="28"/>
          <w:rtl/>
        </w:rPr>
        <w:t>כלומר שבתוספות תאור שמות מלכי אדום ועמלק בן אליפז נקבעו הלכות ומצות לדורות. שאת זה גילו לנו חז"ל את הכתוב בתורה שבכתב. ושם חותם הרמב"ם בסוף הפרק בזה"ל, "וכן כל ענין שיעלם ממך טעם זכרו יש לו סיבה חזקה והנהיג הענין כולו על העיקר אשר הערונו ז"ל עליו בירושלמי כתובות ס"ו פ"ח כי לא דרב רק חוק מכם [דברים ל"ב מז] ואם רק מכם הוא".</w:t>
      </w:r>
    </w:p>
    <w:p w:rsidR="009835EE" w:rsidRDefault="009835EE" w:rsidP="009835EE">
      <w:pPr>
        <w:ind w:right="-142"/>
        <w:jc w:val="both"/>
        <w:rPr>
          <w:rFonts w:cs="David"/>
          <w:sz w:val="28"/>
          <w:szCs w:val="28"/>
          <w:rtl/>
        </w:rPr>
      </w:pPr>
      <w:r>
        <w:rPr>
          <w:rFonts w:cs="David" w:hint="cs"/>
          <w:sz w:val="28"/>
          <w:szCs w:val="28"/>
          <w:rtl/>
        </w:rPr>
        <w:t>[יש להעיר בדברי הרמב"ם הנ"ל שחז"ל עצמם שם בסנהדרין צט מוצאים בתוספת הדברים ותימנא היתה פילגש לאליפז, ומסבירים את הסיבה שתמנע שהיתה מלך נקשרה לאליפז בן עשו ולא הצליחה להתחבר למשפ' יעקב אבינו ע"י שנתגיירה, וכפי שמסבירים המפרשים את הסיבה שלא הסכימו האבות לגיירה, שאמנם לא נלמדה הלכה כפי שכותב הרמב"ם אלא עקרונות של ...</w:t>
      </w:r>
    </w:p>
    <w:p w:rsidR="009835EE" w:rsidRDefault="009835EE" w:rsidP="009835EE">
      <w:pPr>
        <w:ind w:right="-142"/>
        <w:jc w:val="both"/>
        <w:rPr>
          <w:rFonts w:cs="David"/>
          <w:sz w:val="28"/>
          <w:szCs w:val="28"/>
          <w:rtl/>
        </w:rPr>
      </w:pPr>
      <w:r>
        <w:rPr>
          <w:rFonts w:cs="David" w:hint="cs"/>
          <w:sz w:val="28"/>
          <w:szCs w:val="28"/>
          <w:rtl/>
        </w:rPr>
        <w:t>מדוע הרמב"ם חורג מהכלל בפסיקת הלכה שבכל מקום שנחלקו התלמוד הבבלי והתלמוד הירושלמי הולכים אחר התלמוד הבבלי, לפי שבזמנם של רב אשי ורבינא שחתמו תלמוד בבלי היה שלום בבבל ובארץ ישראל היו הרבה שמדות ושנים רבות נתמעטה ההוראה שם וירדו חכמי ארץ ישראל לבבל, ומימות רב עד רב אשי לא מצינו תורה וגדולה במקום אחד כלל שנקבע ונפסק ע"י כל פוסקי הדורות, רב האי גאון בס' אשכול ח"ג עמ' 49: רי"ף וראש סוף ערובין, רב פלטוי גאון ברי"צ גיאת ח"א עמ' ע"ח, סמ"ג לאוין ס"ה י' רמב"ם שבועות מ"ב ב', החנוך בהקדמתו לספרו: או"ז ח"א סי' תשנ"ד, המאור יבמות רפ"ז ועיי"ש במלחמות: סי' המכריע סי' מ"ר ועי"ש סי' מ"ז: הר"ש סיריליאו בפתיחה לירוש' ברכות ח"ג. ועי' ראב"ד בכורים פ"ז ה"ט, ור"ן נדרים פ"ד א'. הובאו מקורות אלו באנציקלופדיה תלמודית ערך הלכה עמוד ר"נ ושם מובאים טעמים נוספים לקביעה זו עיי"ש.</w:t>
      </w:r>
    </w:p>
    <w:p w:rsidR="009835EE" w:rsidRDefault="009835EE" w:rsidP="009835EE">
      <w:pPr>
        <w:ind w:right="-142"/>
        <w:jc w:val="both"/>
        <w:rPr>
          <w:rFonts w:cs="David"/>
          <w:sz w:val="28"/>
          <w:szCs w:val="28"/>
          <w:rtl/>
        </w:rPr>
      </w:pPr>
      <w:r>
        <w:rPr>
          <w:rFonts w:cs="David" w:hint="cs"/>
          <w:sz w:val="28"/>
          <w:szCs w:val="28"/>
          <w:rtl/>
        </w:rPr>
        <w:t>ולכאורה קיים הבדל בין הגדרת מגלה פנים בתורה שלא כהלכה כפי שהגדיר תלמוד הבבלי בסנהדרין שם שדימה זאת למעשה דמנשה בן יאשיה שבז זלזל ולעג על דברי התורת ה' שבכתב שקבלנו ע"י משה. למעשה דחזקי' בן יאשיהו שהביא הירושלמי להגדרת חומרת האסור של ביזוי דבר ה' שעונשו כרת כמבואר לעיל בדברי רש"י ... ביזוי דבר ה' של מנשה, מהות האסור הוא ביזוי החמור של גילוי פנים בתורה שבזה יש ביזוי דבר ה' שהוא עובר על מצות התורה בפרסום ובפירסום זהו תכלית הכפירה כמו שאמר יתעלה והנפש אשר תעשה ביד רמה (במדבר ט"ו ל') כלומר חומרת הגילוי פנים בתורה שבעזות מצח הוא גילוי פנים בעזות מצח בפרהסיה כפי שהפסוק אומר בנפש אשר תעשה ביד רמה היינו בפרהסיה.</w:t>
      </w:r>
    </w:p>
    <w:p w:rsidR="009835EE" w:rsidRDefault="009835EE" w:rsidP="009835EE">
      <w:pPr>
        <w:ind w:right="-142"/>
        <w:jc w:val="both"/>
        <w:rPr>
          <w:rFonts w:cs="David"/>
          <w:sz w:val="28"/>
          <w:szCs w:val="28"/>
          <w:rtl/>
        </w:rPr>
      </w:pPr>
      <w:r>
        <w:rPr>
          <w:rFonts w:cs="David" w:hint="cs"/>
          <w:sz w:val="28"/>
          <w:szCs w:val="28"/>
          <w:rtl/>
        </w:rPr>
        <w:t>וכן חזר הרמב"ם ביד החזקה שם העושה עבירות ביד רמה כיהויקים בגדרת העבירה של מגלה פנים בתורה כשהדגש על שהעז מצחו וגילה בפרהסיה ועבר על דברי התורה ומצות ה'.</w:t>
      </w:r>
    </w:p>
    <w:p w:rsidR="009835EE" w:rsidRDefault="009835EE" w:rsidP="009835EE">
      <w:pPr>
        <w:ind w:right="-142"/>
        <w:jc w:val="both"/>
        <w:rPr>
          <w:rFonts w:cs="David"/>
          <w:sz w:val="28"/>
          <w:szCs w:val="28"/>
          <w:rtl/>
        </w:rPr>
      </w:pPr>
      <w:r>
        <w:rPr>
          <w:rFonts w:cs="David" w:hint="cs"/>
          <w:sz w:val="28"/>
          <w:szCs w:val="28"/>
          <w:rtl/>
        </w:rPr>
        <w:t xml:space="preserve">עפ"ז מדוע קבל בהגדרת האסור של מגלה פנים בתורה את פירוש הירושלמי ששונה כאמור מדברי הבבלי כמבואר, שאין תולה את האסור של מגלה פנים בתורה בפרהסיה דבר שלא מוזכר ביחס למנשה בן יאשיהו שלעג ובז בעזות מצח על דבר ה'. יש לציין שהרמב"ם עצמו במורה נבוכים הנ"ל מפרש את חטאו של "מנשה הרשע" כפי שמתארת הגמ' בסנהדרין הנ"ל שחטאו שהוא נכשל בזה שדברים התורה מספרת שאין תועלת בזכרם ופוגע בעקרון המקודש שכל ספור שתמצאהו כתוב בתורה </w:t>
      </w:r>
      <w:r>
        <w:rPr>
          <w:rFonts w:cs="David" w:hint="cs"/>
          <w:sz w:val="28"/>
          <w:szCs w:val="28"/>
          <w:u w:val="single"/>
          <w:rtl/>
        </w:rPr>
        <w:t>הוא לתועלת הכרחית בתורה אם לאמת דעת שהוא פינה מפינות התורה או לתקון מעשים מן המעשים</w:t>
      </w:r>
      <w:r>
        <w:rPr>
          <w:rFonts w:cs="David" w:hint="cs"/>
          <w:sz w:val="28"/>
          <w:szCs w:val="28"/>
          <w:rtl/>
        </w:rPr>
        <w:t>. וכפי שהרמב"ם מבאר את ספור המלכים אשר מלכו בארץ אדום, וספור משפחות ובני שעיר נכתב מפני מצוה אחת שה' ית' צוה למחות זרע עמלק.</w:t>
      </w:r>
    </w:p>
    <w:p w:rsidR="009835EE" w:rsidRDefault="009835EE" w:rsidP="009835EE">
      <w:pPr>
        <w:ind w:right="-142"/>
        <w:jc w:val="both"/>
        <w:rPr>
          <w:rFonts w:cs="David"/>
          <w:sz w:val="28"/>
          <w:szCs w:val="28"/>
          <w:rtl/>
        </w:rPr>
      </w:pPr>
      <w:r>
        <w:rPr>
          <w:rFonts w:cs="David" w:hint="cs"/>
          <w:sz w:val="28"/>
          <w:szCs w:val="28"/>
          <w:rtl/>
        </w:rPr>
        <w:t>וכפי שכתבו בתוס' יומא פ"ז ע"ב ד"ה והאמר [ועיין ביד מלא כי ח"ב כללי ב' התלמודים סי' י' [ובשדי חמד כללי הפוסקים סי' ב' אות א'] דכל טצדקי שאפשר לעשות שלא תהיה מחלוקת בין הירושלמי להבבלי עושים וגם בלא זה נראה להסביר את שיטת הרמב"ם בהגדרת המגלה פנים בתורה שלא כהלכה שנקט כהירושלמי, ודימה את התנהגותו של יהויקים בן יאשיה כנגד נבואת ירמיה לדברי הנבואה שכתב ברוך בן נרי' והשחיתם ושרפם בפרהסיה כנגד כל השרים וכל העם.</w:t>
      </w:r>
    </w:p>
    <w:p w:rsidR="009835EE" w:rsidRDefault="009835EE" w:rsidP="009835EE">
      <w:pPr>
        <w:ind w:right="-142"/>
        <w:jc w:val="both"/>
        <w:rPr>
          <w:rFonts w:cs="David"/>
          <w:sz w:val="28"/>
          <w:szCs w:val="28"/>
          <w:rtl/>
        </w:rPr>
      </w:pPr>
      <w:r>
        <w:rPr>
          <w:rFonts w:cs="David" w:hint="cs"/>
          <w:sz w:val="28"/>
          <w:szCs w:val="28"/>
          <w:rtl/>
        </w:rPr>
        <w:t>הרמב"ם בפירוש המשנה באבות כנ"ל מסביר שהמגלה פנים בתורה הוא העובר על מצות התורה בפרהסי' ובפרסום וזהו תכלית הכפירה כמו שאמר יתעלה והנפש אשר תעשה ביד רמה כלומר שהמגלה פנים בתורה במזיד בעזות מצח בצינעה זו כפירה ומרידה במלכות ה', אבל אם מגלה פניו בתורת ה' ודבר ה' במזיד ועושה זאת בפרהסיה ביד רמה יש בזה דרגת כפירה ומרידה בה' גדולה וחמורה יותר. ויש להגדיר עבירה של חילול ה' חמורה ביותר.</w:t>
      </w:r>
    </w:p>
    <w:p w:rsidR="009835EE" w:rsidRDefault="009835EE" w:rsidP="009835EE">
      <w:pPr>
        <w:ind w:right="-142"/>
        <w:jc w:val="both"/>
        <w:rPr>
          <w:rFonts w:cs="David"/>
          <w:sz w:val="28"/>
          <w:szCs w:val="28"/>
          <w:rtl/>
        </w:rPr>
      </w:pPr>
      <w:r>
        <w:rPr>
          <w:rFonts w:cs="David" w:hint="cs"/>
          <w:sz w:val="28"/>
          <w:szCs w:val="28"/>
          <w:rtl/>
        </w:rPr>
        <w:t>וכן כתב הרמב"ם בהל' יסודי התורה פ"ה ה', "כל העובר מדעתו בלא אונס על אחת מכל מצות האמורות בתורה בשאט נפש להכעיס הרי זה מחלל את השם, ולפיכך נאמר בשבועת שקר "וחללת את שם אלקיך אני ה'", ואם עבר בעשרה מישראל הרי זה "חלל את ה' ברבים"... הרמב"ם בסה"מ ל"ת ס"ג בעובר מדעתו במזיד על כל אחת ממצות האמורות בתורה בשאט נפש ולהכעיס שמכוין בפעולתו המרד ופריקת עול מלכות שמים.</w:t>
      </w:r>
    </w:p>
    <w:p w:rsidR="009835EE" w:rsidRDefault="009835EE" w:rsidP="009835EE">
      <w:pPr>
        <w:ind w:right="-142"/>
        <w:jc w:val="both"/>
        <w:rPr>
          <w:rFonts w:cs="David"/>
          <w:sz w:val="28"/>
          <w:szCs w:val="28"/>
          <w:rtl/>
        </w:rPr>
      </w:pPr>
      <w:r>
        <w:rPr>
          <w:rFonts w:cs="David" w:hint="cs"/>
          <w:sz w:val="28"/>
          <w:szCs w:val="28"/>
          <w:rtl/>
        </w:rPr>
        <w:t xml:space="preserve">הרמב"ם מגדיר שבעובר בשאט נפש להכעיס שיש בפעולה זו מרידה ופריקת עול מלכות שמים, וזה מדובר אפילו בסתר ושם בחלק א' שבמצוה זו של חילול ה' מוסיף הרמב"ם, "ואם היה זה ברבים כלומר בעשרה מישראל כבר חלל את ה' ברבים, כלומר, בעשרה מישראל כבר חלל את השם ברבים ועבר על אמרו יתעלה ולא תחללו את שם קדשי </w:t>
      </w:r>
      <w:r>
        <w:rPr>
          <w:rFonts w:cs="David" w:hint="cs"/>
          <w:sz w:val="28"/>
          <w:szCs w:val="28"/>
          <w:u w:val="single"/>
          <w:rtl/>
        </w:rPr>
        <w:t>וחטאו גדול מאוד</w:t>
      </w:r>
      <w:r>
        <w:rPr>
          <w:rFonts w:cs="David" w:hint="cs"/>
          <w:sz w:val="28"/>
          <w:szCs w:val="28"/>
          <w:rtl/>
        </w:rPr>
        <w:t>".</w:t>
      </w:r>
    </w:p>
    <w:p w:rsidR="009835EE" w:rsidRDefault="009835EE" w:rsidP="009835EE">
      <w:pPr>
        <w:ind w:right="-142"/>
        <w:jc w:val="both"/>
        <w:rPr>
          <w:rFonts w:cs="David"/>
          <w:sz w:val="28"/>
          <w:szCs w:val="28"/>
          <w:rtl/>
        </w:rPr>
      </w:pPr>
      <w:r>
        <w:rPr>
          <w:rFonts w:cs="David" w:hint="cs"/>
          <w:sz w:val="28"/>
          <w:szCs w:val="28"/>
          <w:rtl/>
        </w:rPr>
        <w:t>גם הרבינו יונה בשערי תשובה שער שלישי פרק קמ"ג מביא את הפסוק והנפש אשר תעשה ביד רמה את ה' הוא מגדף ונכרתה הנפש ההיא מקרב עמה... ופרוש והנפש אשר תעשה ביד רמה כגון העושה עבירות ידועות לבני אדם בפרהסיה, וכן פורק עול שמים, ואפילו בסתר כי גם הוא עושה ביד רמה..." יש לציין דהרבינו יונה הנ"ל בפירושו על דברי המשנה דר' אלעזר המודעי ד"ה המגלה פנים בתורה כתוב, זה המעיז פניו כלפי התורה לעשות עבירות בפרהסיה.</w:t>
      </w:r>
    </w:p>
    <w:p w:rsidR="009835EE" w:rsidRDefault="009835EE" w:rsidP="009835EE">
      <w:pPr>
        <w:ind w:right="-142"/>
        <w:jc w:val="both"/>
        <w:rPr>
          <w:rFonts w:cs="David"/>
          <w:sz w:val="28"/>
          <w:szCs w:val="28"/>
          <w:rtl/>
        </w:rPr>
      </w:pPr>
      <w:r>
        <w:rPr>
          <w:rFonts w:cs="David" w:hint="cs"/>
          <w:sz w:val="28"/>
          <w:szCs w:val="28"/>
          <w:rtl/>
        </w:rPr>
        <w:t>כאן מפרש הרבינו יונה שבמה מתבטא גלוי פנים בתורה שמעיז פניו לעשות עבירות בפרהסיה. זה מתאים עם פירוש הרמב"ם שמביא את הירושלמי פאה כנ"ל שמביא את דוגמת התנהגותו של יהויקים בן יאשיהו שבפרהסיה כנגד כל העם והשרים ביזה את דבר נבואתו של ירמיהו שנכתבו ע"י ברוך בן נריה השחיתם ושרפם.</w:t>
      </w:r>
    </w:p>
    <w:p w:rsidR="009835EE" w:rsidRDefault="009835EE" w:rsidP="009835EE">
      <w:pPr>
        <w:ind w:right="-142"/>
        <w:jc w:val="both"/>
        <w:rPr>
          <w:rFonts w:cs="David"/>
          <w:sz w:val="28"/>
          <w:szCs w:val="28"/>
          <w:rtl/>
        </w:rPr>
      </w:pPr>
      <w:r>
        <w:rPr>
          <w:rFonts w:cs="David" w:hint="cs"/>
          <w:sz w:val="28"/>
          <w:szCs w:val="28"/>
          <w:rtl/>
        </w:rPr>
        <w:t>יש לציין דהשערי תשובה שם פרק קמ"ה מפרש את דברי הבבלי בסנהדרין כנ"ל כי דבר ה' בזה, "ופירוש המגלה פנים בתורה, האיש אשר העז פניו לדבר על התורה הפסוקים וספורי ענינים האלה ומגאוותו וגאונו אמר בלבו, אמנם אין הרבינו יונה מזכיר את מנשה בן יאשיהו שחטא בזאת כפי שמזכיר רש"י שם בפירושו למשנה בפרקי אבות כנ"ל.</w:t>
      </w:r>
    </w:p>
    <w:p w:rsidR="009835EE" w:rsidRDefault="009835EE" w:rsidP="009835EE">
      <w:pPr>
        <w:ind w:right="-142"/>
        <w:jc w:val="both"/>
        <w:rPr>
          <w:rFonts w:cs="David"/>
          <w:sz w:val="28"/>
          <w:szCs w:val="28"/>
          <w:rtl/>
        </w:rPr>
      </w:pPr>
      <w:r>
        <w:rPr>
          <w:rFonts w:cs="David" w:hint="cs"/>
          <w:sz w:val="28"/>
          <w:szCs w:val="28"/>
          <w:rtl/>
        </w:rPr>
        <w:t>ואמרו זכרונם לברכה (אבות פ"א מ"א) הוו מתונין בדין ונמהרי לב להבין ולהורות לא יצילו את נפשם מתת מכשול לפני עוור וחטאתם כבדה מאוד, כמו שנאמר (בתהילים פ"ב ה') לא ידעו ולא יבינו בחשכה התהלכו ימוטו כל מוסדי ארץ ועוד אמרו באבות פ"ד, מ' י"ב הוי זהיר בתלמוד ששגגת תלמוד עולה זדון, ואמרו (סוטה כ"ב) כי רבים חללים הפילה (משלי ז' כ"ו), זה תלמיד שלא הגיע להוראה ומורה, ועצומים כל הרוגיה, זה תלמיד שהגיע להוראה ואינו מורה".</w:t>
      </w:r>
    </w:p>
    <w:p w:rsidR="009835EE" w:rsidRDefault="009835EE" w:rsidP="009835EE">
      <w:pPr>
        <w:ind w:right="-142"/>
        <w:jc w:val="both"/>
        <w:rPr>
          <w:rFonts w:cs="David"/>
          <w:sz w:val="28"/>
          <w:szCs w:val="28"/>
          <w:rtl/>
        </w:rPr>
      </w:pPr>
      <w:r>
        <w:rPr>
          <w:rFonts w:cs="David" w:hint="cs"/>
          <w:sz w:val="28"/>
          <w:szCs w:val="28"/>
          <w:rtl/>
        </w:rPr>
        <w:t>לאור תאור כל מעשיו ופסיקתו בפרהסיה תוך ביזוי התורה מעביריה ופסיקתם של פוסקי הדורות, ובראשם השו"ע והרמ"א יש להגדירו הלכתית ככופר ואפיקורס. בפסיקתו בענין נשים בהנחת תפילין ובהתעטפות בציצית מתגלים השקפות עולמו ודעותיו שפוסקי דור מגדירים אותם ככפירה ואפיקורסות בדעותיו ויסודות אמונתו.</w:t>
      </w:r>
    </w:p>
    <w:p w:rsidR="009835EE" w:rsidRDefault="009835EE" w:rsidP="009835EE">
      <w:pPr>
        <w:ind w:right="-142"/>
        <w:jc w:val="both"/>
        <w:rPr>
          <w:rFonts w:cs="David"/>
          <w:sz w:val="28"/>
          <w:szCs w:val="28"/>
          <w:rtl/>
        </w:rPr>
      </w:pPr>
      <w:r>
        <w:rPr>
          <w:rFonts w:cs="David" w:hint="cs"/>
          <w:sz w:val="28"/>
          <w:szCs w:val="28"/>
          <w:u w:val="single"/>
          <w:rtl/>
        </w:rPr>
        <w:t>מרן הגר"מ פיינשטיין זצ"ל באגרות משה ח"ד ח' או"ח סי' מ"ט נדרש ליחסו ההלכתי לתנועה החדשה של נשים השאננות והחשובות</w:t>
      </w:r>
      <w:r>
        <w:rPr>
          <w:rFonts w:cs="David" w:hint="cs"/>
          <w:sz w:val="28"/>
          <w:szCs w:val="28"/>
          <w:rtl/>
        </w:rPr>
        <w:t xml:space="preserve">. בדבר הנשים השאננות והחשובות אשר בעניני הנהגות המבינות בעולם, הן גם כן מהלוחמות יחד עם התנועה כזו עם הנשים הלוחמות בזה מכל העמים שבעולם, אבל נשים אלו שהן שומרות מצות </w:t>
      </w:r>
      <w:r>
        <w:rPr>
          <w:rFonts w:cs="David" w:hint="cs"/>
          <w:sz w:val="28"/>
          <w:szCs w:val="28"/>
          <w:u w:val="single"/>
          <w:rtl/>
        </w:rPr>
        <w:t>רוצות להכניס מלחמתן גם במה שנוגע לכמה דיני התורה, ויש מהן אשר מתפללות בטלית וכדומה בעוד דברים</w:t>
      </w:r>
      <w:r>
        <w:rPr>
          <w:rFonts w:cs="David" w:hint="cs"/>
          <w:sz w:val="28"/>
          <w:szCs w:val="28"/>
          <w:rtl/>
        </w:rPr>
        <w:t>, ורוצה שאביע בזה דעתי בעצם הדבר ואיך שיתנהג כת"רה.</w:t>
      </w:r>
    </w:p>
    <w:p w:rsidR="009835EE" w:rsidRDefault="009835EE" w:rsidP="009835EE">
      <w:pPr>
        <w:ind w:right="-142"/>
        <w:jc w:val="both"/>
        <w:rPr>
          <w:rFonts w:cs="David"/>
          <w:sz w:val="28"/>
          <w:szCs w:val="28"/>
          <w:rtl/>
        </w:rPr>
      </w:pPr>
      <w:r>
        <w:rPr>
          <w:rFonts w:cs="David" w:hint="cs"/>
          <w:sz w:val="28"/>
          <w:szCs w:val="28"/>
          <w:rtl/>
        </w:rPr>
        <w:t>בתוך דבריו שם כותב הגרמ"פ שנשים מתעקשות ורוצות ללחום ולשנות הלכות, דינים ומנהגים שנקבעו ונפסקו בהלכה, ובלשונו, שהם בחשיבות כופרות בתורה. עיין ברמב"ם פ"ג מתשובה ה"ח דשלשה הן הנקראין כופרין בתורה, האומר אף על תיבה אחת שמשה אמרו מפי עצמו, והכופר בפירושה שהוא תורה שבע"פ, והאומר שהוחלף דבר אחד, כל אחד משלשה אלו כופר בתורה, ודינם שאין להם חלק לעוה"ב. ואף שלשון הרמב"ם הוא, האומר שהבורא החליף מצוה זו וכ"ש כשאומר שהרשות ביחד אינשי להחליף שג"כ הרי אומר בזה שאין התורה נצחית, וכל הטעם הוא שהרי מכחיש כמה כתובים המורים שהתורה נצחית כדכתב הכ"י. ממשיך הגרמ"פ ודן שלכאורה הרי מבחינת ההלכה יש רשות לכל אשה לקיים המצות אף שלא חייבתן תורה ויש להם מצוה ושכר קיום מצות אילו וגם לשיטת תוס' רשאות גם לברך על המצות  וכמנהגינו שמקיימות מצות שופר ולולב וגם מברכות עליהם.</w:t>
      </w:r>
    </w:p>
    <w:p w:rsidR="009835EE" w:rsidRDefault="009835EE" w:rsidP="009835EE">
      <w:pPr>
        <w:ind w:right="-142"/>
        <w:jc w:val="both"/>
        <w:rPr>
          <w:rFonts w:cs="David"/>
          <w:sz w:val="28"/>
          <w:szCs w:val="28"/>
          <w:rtl/>
        </w:rPr>
      </w:pPr>
      <w:r>
        <w:rPr>
          <w:rFonts w:cs="David" w:hint="cs"/>
          <w:sz w:val="28"/>
          <w:szCs w:val="28"/>
          <w:rtl/>
        </w:rPr>
        <w:t>והביא שם ראיה מדברי התוס' בעירובין צ"ו ע"א ד"ה מיכל שהניחה תפילין שצריכים למחות בידן משום דתפילין צריך זריזות מרובה בגוף נקי ובהיסח הדעת, וכן נפסק ברמ"א או"ח סימן ל"ח סעיף ג' דמוחין ביד אשה שמניחה תפילין, והביא את דברי התרגום יונתן על הפסוק שלא יהיה כלי גבר על אשה, שלא יהיה גוליין בציצית ותפילין דהינון תיקוני גבר. ולפי"ז היה מקום להתיר לנשים האלו שומרות המצות להתפלל בטלית והשיב שם הגרמ"פ בזה"ל:</w:t>
      </w:r>
    </w:p>
    <w:p w:rsidR="009835EE" w:rsidRDefault="009835EE" w:rsidP="009835EE">
      <w:pPr>
        <w:ind w:right="-142"/>
        <w:jc w:val="both"/>
        <w:rPr>
          <w:rFonts w:cs="David"/>
          <w:sz w:val="28"/>
          <w:szCs w:val="28"/>
          <w:rtl/>
        </w:rPr>
      </w:pPr>
      <w:r>
        <w:rPr>
          <w:rFonts w:cs="David" w:hint="cs"/>
          <w:sz w:val="28"/>
          <w:szCs w:val="28"/>
          <w:rtl/>
        </w:rPr>
        <w:t>"</w:t>
      </w:r>
      <w:r>
        <w:rPr>
          <w:rFonts w:cs="David" w:hint="cs"/>
          <w:sz w:val="28"/>
          <w:szCs w:val="28"/>
          <w:u w:val="single"/>
          <w:rtl/>
        </w:rPr>
        <w:t>אבל פשוט שהוא רק בחשקה נפשה לקיים מצות אף שלא נצטותה, אבל מכיון שאינו לכוונה זו אלא מצד תורעמותה על השי"ת ותורתו אין זה מעשה מצוה כלל אלא אדרבא מעשה איסור, שהאיסור דכפירה שחושבת דשייך שיהיה איזה חלוף בדיני התורה, היא עושית גם במעשה דחמיר"</w:t>
      </w:r>
      <w:r>
        <w:rPr>
          <w:rFonts w:cs="David" w:hint="cs"/>
          <w:sz w:val="28"/>
          <w:szCs w:val="28"/>
          <w:rtl/>
        </w:rPr>
        <w:t>.</w:t>
      </w:r>
    </w:p>
    <w:p w:rsidR="009835EE" w:rsidRDefault="009835EE" w:rsidP="009835EE">
      <w:pPr>
        <w:ind w:right="-142"/>
        <w:jc w:val="both"/>
        <w:rPr>
          <w:rFonts w:cs="David"/>
          <w:sz w:val="28"/>
          <w:szCs w:val="28"/>
          <w:rtl/>
        </w:rPr>
      </w:pPr>
      <w:r>
        <w:rPr>
          <w:rFonts w:cs="David" w:hint="cs"/>
          <w:sz w:val="28"/>
          <w:szCs w:val="28"/>
          <w:rtl/>
        </w:rPr>
        <w:t>מסביר הגרמ"פ דאם מקום הרצון להתעטף בציצית נובע הרצון הדתי הפנימי לקיים את מצות ה' אף שלא נצטוותה, היה מקום לאפשר לה, אבל כאשר המקור לפעולה זו של התעטפות בציצית בשעת תפילה, היא ביטוי לכעסה על הקב"ה שלא רואה בה כשוה לגבר, וכן שתורתו ומצותיה כפי שקבעו חז"ל השו"ע והפוסקים אינם מכירים בעקרון השוויון, ומפלים את האשה לעומת הגבר במצוות, כמצות ציצית, תפילין, ת"ת ומצות עשה שהזמן גרמן, שמהוה את בסיס השקפת עולמם של תנועת הנשים הפמניסטיות בעולם כולו, רואה הגרמ"פ בהשקפת עולם זו שיש בה אסור כפירה, עליה דבר הרמב"ם, והוסיף שם הגרמ"פ, שמאחר והיא עושה פעולה של ההתעטפות בטלית שהוא בנגוד לדיני התורה חמור יותר מהשקפה בלב של כפירה, כלומר שעשית מעשה ששורשו מכפירה, אין לראותו כמעשה ומצוה אלא כמעשה גלוי וביטוי לכפירה ומרידה במצות ה'.</w:t>
      </w:r>
    </w:p>
    <w:p w:rsidR="009835EE" w:rsidRDefault="009835EE" w:rsidP="009835EE">
      <w:pPr>
        <w:ind w:right="-142"/>
        <w:jc w:val="both"/>
        <w:rPr>
          <w:rFonts w:cs="David"/>
          <w:sz w:val="28"/>
          <w:szCs w:val="28"/>
          <w:rtl/>
        </w:rPr>
      </w:pPr>
      <w:r>
        <w:rPr>
          <w:rFonts w:cs="David" w:hint="cs"/>
          <w:sz w:val="28"/>
          <w:szCs w:val="28"/>
          <w:rtl/>
        </w:rPr>
        <w:t xml:space="preserve">ממשיך שם הגרמ"פ ודוחה את הטענה, שבפטור הנשים ממצות שחייב בהם האיש, אין זה בשביל פחיתות במדרגת הקדושה מאנשים, וליכא שום זלזול בכבודן ובכל דבר בזה שנפטרו מלמוד התורה וממצות שהזמ"ג, וליכא כלל "שום סיבה להתרעם כלל, וסיכם את תשובתו לאותו רב שיש לכת"רה להסביר בכל פעם ופעם ולהיות תקיף וחזק בדעתו </w:t>
      </w:r>
      <w:r>
        <w:rPr>
          <w:rFonts w:cs="David" w:hint="cs"/>
          <w:sz w:val="28"/>
          <w:szCs w:val="28"/>
          <w:u w:val="single"/>
          <w:rtl/>
        </w:rPr>
        <w:t>שהוא כדיני</w:t>
      </w:r>
      <w:r>
        <w:rPr>
          <w:rFonts w:cs="David" w:hint="cs"/>
          <w:sz w:val="28"/>
          <w:szCs w:val="28"/>
          <w:rtl/>
        </w:rPr>
        <w:t xml:space="preserve"> התורה</w:t>
      </w:r>
      <w:r>
        <w:rPr>
          <w:rFonts w:cs="David" w:hint="cs"/>
          <w:sz w:val="28"/>
          <w:szCs w:val="28"/>
          <w:u w:val="single"/>
          <w:rtl/>
        </w:rPr>
        <w:t xml:space="preserve"> למחות באלו הנשים שאחר כל זה יעמוד בדעתן האוולת והעקישה שלא לשנות שום דבר ממנהגי ישראל הקדושים</w:t>
      </w:r>
      <w:r>
        <w:rPr>
          <w:rFonts w:cs="David" w:hint="cs"/>
          <w:sz w:val="28"/>
          <w:szCs w:val="28"/>
          <w:rtl/>
        </w:rPr>
        <w:t>".</w:t>
      </w:r>
    </w:p>
    <w:p w:rsidR="009835EE" w:rsidRDefault="009835EE" w:rsidP="009835EE">
      <w:pPr>
        <w:spacing w:after="0"/>
        <w:ind w:right="-709"/>
        <w:jc w:val="both"/>
        <w:rPr>
          <w:rFonts w:cs="David"/>
          <w:sz w:val="28"/>
          <w:szCs w:val="28"/>
          <w:rtl/>
        </w:rPr>
      </w:pPr>
      <w:r w:rsidRPr="003612CF">
        <w:rPr>
          <w:rFonts w:cs="David" w:hint="cs"/>
          <w:sz w:val="28"/>
          <w:szCs w:val="28"/>
          <w:rtl/>
        </w:rPr>
        <w:t>חובת המחאה על התנהגות רפורמים בפסיקת הגר"מ פיינשטיין זצ"ל לענין נשים המתעטפות בטלית. בדברי הריא"ז שבשלטי הגבורים על הרי"ף מס' ר"ה לענין תק</w:t>
      </w:r>
      <w:r>
        <w:rPr>
          <w:rFonts w:cs="David" w:hint="cs"/>
          <w:sz w:val="28"/>
          <w:szCs w:val="28"/>
          <w:rtl/>
        </w:rPr>
        <w:t>יעת שופר ע"י נשים ביו"ט של ר"ה ב</w:t>
      </w:r>
      <w:r w:rsidRPr="003612CF">
        <w:rPr>
          <w:rFonts w:cs="David" w:hint="cs"/>
          <w:sz w:val="28"/>
          <w:szCs w:val="28"/>
          <w:rtl/>
        </w:rPr>
        <w:t>דברי פרוש ספר חרדים על הירושלמי</w:t>
      </w:r>
      <w:r>
        <w:rPr>
          <w:rFonts w:cs="David" w:hint="cs"/>
          <w:sz w:val="28"/>
          <w:szCs w:val="28"/>
          <w:rtl/>
        </w:rPr>
        <w:t xml:space="preserve"> ברכות לענין התעטפות בטלית והנח</w:t>
      </w:r>
      <w:r w:rsidRPr="003612CF">
        <w:rPr>
          <w:rFonts w:cs="David" w:hint="cs"/>
          <w:sz w:val="28"/>
          <w:szCs w:val="28"/>
          <w:rtl/>
        </w:rPr>
        <w:t>ת תפילין ע"י נשים.</w:t>
      </w:r>
    </w:p>
    <w:p w:rsidR="009835EE" w:rsidRPr="003612CF" w:rsidRDefault="009835EE" w:rsidP="009835EE">
      <w:pPr>
        <w:spacing w:after="0"/>
        <w:ind w:right="-709"/>
        <w:jc w:val="both"/>
        <w:rPr>
          <w:rFonts w:cs="David"/>
          <w:sz w:val="28"/>
          <w:szCs w:val="28"/>
          <w:rtl/>
        </w:rPr>
      </w:pPr>
    </w:p>
    <w:p w:rsidR="009835EE" w:rsidRDefault="009835EE" w:rsidP="009835EE">
      <w:pPr>
        <w:ind w:right="-142"/>
        <w:jc w:val="both"/>
        <w:rPr>
          <w:rFonts w:cs="David"/>
          <w:sz w:val="28"/>
          <w:szCs w:val="28"/>
          <w:rtl/>
        </w:rPr>
      </w:pPr>
      <w:r>
        <w:rPr>
          <w:rFonts w:cs="David" w:hint="cs"/>
          <w:sz w:val="28"/>
          <w:szCs w:val="28"/>
          <w:rtl/>
        </w:rPr>
        <w:t>בפסיקת הגר"מ פיינשטיין זצ"ל ובדברי הריא"ז שבשלטי הגבורים על הרי"ף במסכת ר"ה לענין תקיעת שופר ע"י נשים ופרוש ספר החרדים על הירושלמי לענין התעטפות בטלית והנחת תפילין ע"י נשים.</w:t>
      </w:r>
    </w:p>
    <w:p w:rsidR="009835EE" w:rsidRDefault="009835EE" w:rsidP="009835EE">
      <w:pPr>
        <w:ind w:right="-142"/>
        <w:jc w:val="both"/>
        <w:rPr>
          <w:rFonts w:cs="David"/>
          <w:sz w:val="28"/>
          <w:szCs w:val="28"/>
          <w:rtl/>
        </w:rPr>
      </w:pPr>
      <w:r>
        <w:rPr>
          <w:rFonts w:cs="David" w:hint="cs"/>
          <w:sz w:val="28"/>
          <w:szCs w:val="28"/>
          <w:rtl/>
        </w:rPr>
        <w:t>מרן הגר"מ פיינשטיין זצ"ל מדגיש בתשובתו לאותו הרב בבוסטאן שקיימת חובה למחות לאותם נשים, משום שבמעשה ההתעטפות בציצית או הנחת תפילין ושאר מצות כפי שיתבאר לקמן, יש לראותו כמעשה כפירה חמור שיש בו פגיעה בכבוד שמים וכבודה של תורה, מצוותיה ומגידי התורה ח"ו. ולא רק האסור והעבירה שעוברות אותם נשים שחובה למחות בידם כדאיתא במס' שבת נד נה, ומדין כל ישראל ערבים, וההלכה של לפני עור, ולאפרושי מאסורא, והוכיח תוכיח מצווים לפעול ולהצילם מלעבור על מצות ה'.</w:t>
      </w:r>
    </w:p>
    <w:p w:rsidR="009835EE" w:rsidRDefault="009835EE" w:rsidP="009835EE">
      <w:pPr>
        <w:ind w:right="-142"/>
        <w:jc w:val="both"/>
        <w:rPr>
          <w:rFonts w:cs="David"/>
          <w:sz w:val="28"/>
          <w:szCs w:val="28"/>
          <w:rtl/>
        </w:rPr>
      </w:pPr>
      <w:r>
        <w:rPr>
          <w:rFonts w:cs="David" w:hint="cs"/>
          <w:sz w:val="28"/>
          <w:szCs w:val="28"/>
          <w:rtl/>
        </w:rPr>
        <w:t xml:space="preserve">פסיקתו וקביעתו זו של האגרות משה שחובה </w:t>
      </w:r>
      <w:r>
        <w:rPr>
          <w:rFonts w:cs="David" w:hint="cs"/>
          <w:sz w:val="28"/>
          <w:szCs w:val="28"/>
          <w:u w:val="single"/>
          <w:rtl/>
        </w:rPr>
        <w:t>למחות</w:t>
      </w:r>
      <w:r>
        <w:rPr>
          <w:rFonts w:cs="David" w:hint="cs"/>
          <w:sz w:val="28"/>
          <w:szCs w:val="28"/>
          <w:rtl/>
        </w:rPr>
        <w:t xml:space="preserve"> בנשים אלו על התנהגות בעבודת ה' בנגוד להלכה שנפסקה, יש למצוא </w:t>
      </w:r>
      <w:r>
        <w:rPr>
          <w:rFonts w:cs="David" w:hint="cs"/>
          <w:sz w:val="28"/>
          <w:szCs w:val="28"/>
          <w:u w:val="single"/>
          <w:rtl/>
        </w:rPr>
        <w:t>בדברי הירושלמי מס' ברכות</w:t>
      </w:r>
      <w:r>
        <w:rPr>
          <w:rFonts w:cs="David" w:hint="cs"/>
          <w:sz w:val="28"/>
          <w:szCs w:val="28"/>
          <w:rtl/>
        </w:rPr>
        <w:t xml:space="preserve"> שהביא את הנאמר במשנה ברכות כ. תמן תנינן נשים ועבדים פטורין מק"ש ומן התפילין, ושואלת הגמ' תמן תנינן נשים מנין ולמדתם אותם את בניכם ולא את בנותיכם,  א"ת שהוא חייב בת"ת חייב בתפילין נשים שאינם חייבות בת"ת אינן חייבין בתפילין התיבון הרי מיכל בת כושי (י.ג. בת שאול] היתה לובשת תפילין ואשתו של יונה היתה עולה לרגלים ולא מיחו בידיה חכמים. ר' חזקי בשם ר' אבהו אשתו של יונה הושבה מיכל בת כושי </w:t>
      </w:r>
      <w:r>
        <w:rPr>
          <w:rFonts w:cs="David" w:hint="cs"/>
          <w:sz w:val="28"/>
          <w:szCs w:val="28"/>
          <w:u w:val="single"/>
          <w:rtl/>
        </w:rPr>
        <w:t>מיחו בידיה חכמים</w:t>
      </w:r>
      <w:r>
        <w:rPr>
          <w:rFonts w:cs="David" w:hint="cs"/>
          <w:sz w:val="28"/>
          <w:szCs w:val="28"/>
          <w:rtl/>
        </w:rPr>
        <w:t xml:space="preserve"> וכתב שם בפירוש בעל החרדים לאחר שהביא את דברי הגמ' בפסחים במשנה נ"ה ע"ב ששה דברים עשו אנשי יריחו, על שלשה מיחו בידם ועל שלשה לא מיחו, וכפי שמבואר שם בגמ' נו שאע"פ שכל אותם ששה דברים אסורים על שלשה מהם מחו על אותם אנשי יריחו שחטאו בהם באי את הטעם שחכמים מיחו במיכל בת כושי כאשר שהניחה תפילין ע"פ דברי </w:t>
      </w:r>
      <w:r>
        <w:rPr>
          <w:rFonts w:cs="David" w:hint="cs"/>
          <w:sz w:val="28"/>
          <w:szCs w:val="28"/>
          <w:u w:val="single"/>
          <w:rtl/>
        </w:rPr>
        <w:t>הריא"ז שבשלטי גבורים על הרי"ף במס' ר"ה דף ט' ע"ב ברי"ף שנשים אסורות לתקוע ביו"ט של ר"ה</w:t>
      </w:r>
      <w:r>
        <w:rPr>
          <w:rFonts w:cs="David" w:hint="cs"/>
          <w:sz w:val="28"/>
          <w:szCs w:val="28"/>
          <w:rtl/>
        </w:rPr>
        <w:t xml:space="preserve"> אפי' בלא ברכה הואיל ואינם מצוות בדבר, ויו"ט של ר"ה אצלם כשאר יו"ט שאסור לאדם לתקוע בשבתות ויו"ט ואפילו לטלטל השופר אסרו חכמים, והוסיף שם הריא"ז, "</w:t>
      </w:r>
      <w:r>
        <w:rPr>
          <w:rFonts w:cs="David" w:hint="cs"/>
          <w:sz w:val="28"/>
          <w:szCs w:val="28"/>
          <w:u w:val="single"/>
          <w:rtl/>
        </w:rPr>
        <w:t>וכן אסור לנשים להניח תפילין אפי' בלא ברכה מפני שנראה כדרך החיצונים שעוברים על דברי חכמים ואינם רוצים לדרוש המקראות כמותן</w:t>
      </w:r>
      <w:r>
        <w:rPr>
          <w:rFonts w:cs="David" w:hint="cs"/>
          <w:sz w:val="28"/>
          <w:szCs w:val="28"/>
          <w:rtl/>
        </w:rPr>
        <w:t>". החיצונים אלו הצדוקים או הביתוסים שעליהן דבר הרמב"ם בהל' תשובה בפ"ג שלושה הם הנקראים כופרים המכחיש מגידיה כגון צדוק ובייטוס".</w:t>
      </w:r>
    </w:p>
    <w:p w:rsidR="009835EE" w:rsidRDefault="009835EE" w:rsidP="009835EE">
      <w:pPr>
        <w:ind w:right="-142"/>
        <w:jc w:val="both"/>
        <w:rPr>
          <w:rFonts w:cs="David"/>
          <w:sz w:val="28"/>
          <w:szCs w:val="28"/>
          <w:rtl/>
        </w:rPr>
      </w:pPr>
      <w:r>
        <w:rPr>
          <w:rFonts w:cs="David" w:hint="cs"/>
          <w:sz w:val="28"/>
          <w:szCs w:val="28"/>
          <w:rtl/>
        </w:rPr>
        <w:t>כמבואר לעיל בהרחבה דברי הרמב"ם וכן מובאים בדברי מרן הג"ר פיינשטיין כנ"ל. הריא"ז מסביר את הסיבה שנשים אסורות בתקיעת שופר שאינם מקבלות את פסיקת חז"ל שקבעו את הכלל דמ"ע שהזמ"ג פטורות.</w:t>
      </w:r>
    </w:p>
    <w:p w:rsidR="009835EE" w:rsidRDefault="009835EE" w:rsidP="009835EE">
      <w:pPr>
        <w:ind w:right="-142"/>
        <w:jc w:val="both"/>
        <w:rPr>
          <w:rFonts w:cs="David"/>
          <w:sz w:val="28"/>
          <w:szCs w:val="28"/>
          <w:rtl/>
        </w:rPr>
      </w:pPr>
      <w:r>
        <w:rPr>
          <w:rFonts w:cs="David" w:hint="cs"/>
          <w:sz w:val="28"/>
          <w:szCs w:val="28"/>
          <w:rtl/>
        </w:rPr>
        <w:t xml:space="preserve">ולכן מסביר את הסיבה שאסור להם להניח תפילין משום שבזה הם מראות שהם נוקטות כאותם חיצונים ואינם רוצות לדרוש המקראות כפי שדרשו ופסקו חז"ל. </w:t>
      </w:r>
      <w:r>
        <w:rPr>
          <w:rFonts w:cs="David" w:hint="cs"/>
          <w:sz w:val="28"/>
          <w:szCs w:val="28"/>
          <w:u w:val="single"/>
          <w:rtl/>
        </w:rPr>
        <w:t>על יסוד דברי הריא"ז הנ"ל קובע בספר חרדים שם</w:t>
      </w:r>
      <w:r>
        <w:rPr>
          <w:rFonts w:cs="David" w:hint="cs"/>
          <w:sz w:val="28"/>
          <w:szCs w:val="28"/>
          <w:rtl/>
        </w:rPr>
        <w:t xml:space="preserve"> את הסיבה שבירושלמי בז"ל מובא שמיחו כחמים במיכל בת כושי (ג"א שאול) שהנהגה זו לא הסתפקו רק בקביעה שזה אסור וכפי שנראה מהוראתו של האג"מ שלא הסתפק בקביעה שאותם נשים המתעטפות בטלית עוברים על אסור שהורא לאותם רב מבוסטון ששאל את דעתו איך להתייחס לאותן נשים "שומרות מצות" שבין הנהגותיהם מתעטפות בשעת תפילה בטלית כגברים וכן שאר הנהגותיהם של נשים, והורה לו שיש למחות באלו הנשים כיון שהתנהגותם בעניני המצות כטלית בדברי האג"מ או בתפילין כבאור הספר חרדים ומבסס דבריו על חיוב המחאה על דברי הריא"ז בש"ג הנ"ל, אינה דומה מחאה שעניניה שלא לעבור על מצות ה' למחאה על עבירה שיש בה כפירה ומרידה בקב"ה, בתורתו ובחכמיו ובמצותיו וכאשר יש חלול ה' כאותם נשים שהנהגתם ע"פ הגדרת הרפורמים שנתבארה לעיל שפועלים על פי עיכוב אוניברסלי בלבד שהם מתנהלות על פי הערך האוניברסלי המרכזי של התנועות הפמיניסטיות שהוא "שויון" בין גברים ונשים ומבטלות בהתנהגותם את ערכי היסוד היהודיים שנקבעים ע"י גדולי חכמי התורה ופוסקי ההלכה כולל השו"ע, הלכותיו, גזירותיו ומנהגיו.</w:t>
      </w:r>
    </w:p>
    <w:p w:rsidR="009835EE" w:rsidRDefault="009835EE" w:rsidP="009835EE">
      <w:pPr>
        <w:ind w:right="-142"/>
        <w:jc w:val="both"/>
        <w:rPr>
          <w:rFonts w:cs="David"/>
          <w:sz w:val="28"/>
          <w:szCs w:val="28"/>
          <w:rtl/>
        </w:rPr>
      </w:pPr>
      <w:r>
        <w:rPr>
          <w:rFonts w:cs="David" w:hint="cs"/>
          <w:sz w:val="28"/>
          <w:szCs w:val="28"/>
          <w:rtl/>
        </w:rPr>
        <w:t xml:space="preserve">הגר"ד סולובייצ'יק זצ"ל מבוסטון במאמרו "זה סיני" קובע, "כדי להצטרף לשורות חכמי המסורה </w:t>
      </w:r>
      <w:r>
        <w:rPr>
          <w:rFonts w:cs="David" w:hint="cs"/>
          <w:sz w:val="28"/>
          <w:szCs w:val="28"/>
          <w:u w:val="single"/>
          <w:rtl/>
        </w:rPr>
        <w:t>עליו להמנע מלנסות להסביר את חוקי התורה ע"י הסברים שאולים מבחוץ</w:t>
      </w:r>
      <w:r>
        <w:rPr>
          <w:rFonts w:cs="David" w:hint="cs"/>
          <w:sz w:val="28"/>
          <w:szCs w:val="28"/>
          <w:rtl/>
        </w:rPr>
        <w:t xml:space="preserve">. אין לשפוט להעריך חוקים ומשפטים של תורה עפ"י אמות מידה של </w:t>
      </w:r>
      <w:r>
        <w:rPr>
          <w:rFonts w:cs="David" w:hint="cs"/>
          <w:sz w:val="28"/>
          <w:szCs w:val="28"/>
          <w:u w:val="single"/>
          <w:rtl/>
        </w:rPr>
        <w:t>שיטת ערכים חילונית</w:t>
      </w:r>
      <w:r>
        <w:rPr>
          <w:rFonts w:cs="David" w:hint="cs"/>
          <w:sz w:val="28"/>
          <w:szCs w:val="28"/>
          <w:rtl/>
        </w:rPr>
        <w:t xml:space="preserve">. נסיון כזה בין אם יהיה מבוסס על פרשנות היסטורית או פסיכולוגית, בין אם יבוא מכיון אוטיליטריסטי חותר תחת עצם אושית התורה והמסורה ומוביל לבסוף לתוצאות היות טרגיות של אידיאולוגיות התבוללות וניהליזם (שלילה גמורה ומוחלטת של הכל), ואין זה משנה כמה טובה היא כוונת האדם המציע הצעות אלו". הדוגמא שמוצא הגרי"ד סולוביצ'יק זצ"ל שאותם שכן מבקשים להסביר את חוקי התורה ע"י הסברים שאולים מבחוץ ולשפוט ולהעריך את חוקי ומשפטי התורה, ע"פ אמות מידה של </w:t>
      </w:r>
      <w:r>
        <w:rPr>
          <w:rFonts w:cs="David" w:hint="cs"/>
          <w:sz w:val="28"/>
          <w:szCs w:val="28"/>
          <w:u w:val="single"/>
          <w:rtl/>
        </w:rPr>
        <w:t>שיטת ערכים חילונית</w:t>
      </w:r>
      <w:r>
        <w:rPr>
          <w:rFonts w:cs="David" w:hint="cs"/>
          <w:sz w:val="28"/>
          <w:szCs w:val="28"/>
          <w:rtl/>
        </w:rPr>
        <w:t xml:space="preserve"> שתהינה מבוססות על פרשנות היסטורית או פסיכולוגית או שיבואו מכיון אוטיליטריסטי הם הנשים המודרניות או הנציגים המודרנים של הסובייקביזם הדתי (השקפה האומרת כי האמת היא רק תוצאה של דעתו האישית של כל אדם, משום שמחוץ למה שנראה לו לא קיימת אמת אובייקטיבית).</w:t>
      </w:r>
    </w:p>
    <w:p w:rsidR="009835EE" w:rsidRDefault="009835EE" w:rsidP="009835EE">
      <w:pPr>
        <w:ind w:right="-142"/>
        <w:jc w:val="both"/>
        <w:rPr>
          <w:rFonts w:cs="David"/>
          <w:sz w:val="28"/>
          <w:szCs w:val="28"/>
          <w:rtl/>
        </w:rPr>
      </w:pPr>
      <w:r>
        <w:rPr>
          <w:rFonts w:cs="David" w:hint="cs"/>
          <w:sz w:val="28"/>
          <w:szCs w:val="28"/>
          <w:rtl/>
        </w:rPr>
        <w:t>כאשר אותם נשים מודרניות בוחנות את משפטי התורה וחוקיה על פי הערך החילוני והשקפת העולם שלהם שמעמיד את ערך שויון האשה לגבר בערך עליון, ולכן מבטה על מצות התורה השייכות לאשה שנתנו מתוך מבט של נחיתותה של האשה. מגמתם בהתנהגותם לקבוע שערך השויון מביא אותם למרוד בהלכות דינים ומנהגים ולהתנהג בנגוד להלכה.</w:t>
      </w:r>
    </w:p>
    <w:p w:rsidR="009835EE" w:rsidRDefault="009835EE" w:rsidP="009835EE">
      <w:pPr>
        <w:ind w:right="-142"/>
        <w:jc w:val="both"/>
        <w:rPr>
          <w:rFonts w:cs="David"/>
          <w:sz w:val="28"/>
          <w:szCs w:val="28"/>
          <w:rtl/>
        </w:rPr>
      </w:pPr>
      <w:r>
        <w:rPr>
          <w:rFonts w:cs="David" w:hint="cs"/>
          <w:sz w:val="28"/>
          <w:szCs w:val="28"/>
          <w:rtl/>
        </w:rPr>
        <w:t xml:space="preserve">במאמרו על פרשת קורח מביא הגרי"ד סולובייצ'יק  </w:t>
      </w:r>
      <w:r>
        <w:rPr>
          <w:rFonts w:cs="David" w:hint="cs"/>
          <w:sz w:val="28"/>
          <w:szCs w:val="28"/>
          <w:u w:val="single"/>
          <w:rtl/>
        </w:rPr>
        <w:t>דוגמא שלקוחה "מהתנועה לשחרור האשה</w:t>
      </w:r>
      <w:r>
        <w:rPr>
          <w:rFonts w:cs="David" w:hint="cs"/>
          <w:sz w:val="28"/>
          <w:szCs w:val="28"/>
          <w:rtl/>
        </w:rPr>
        <w:t>" שלהם תלונות נגד התורה שבעל פה – נגד ההלכה שלנו שהיא מקפחת את האשה שהאשה אינה שווה לאיש בהלכה? זה מה שאני שומע ואז יש רבנים המוכנים להיכנע בכדי לפייס כמה גבירות של "שחרור האשה".</w:t>
      </w:r>
    </w:p>
    <w:p w:rsidR="009835EE" w:rsidRDefault="009835EE" w:rsidP="009835EE">
      <w:pPr>
        <w:ind w:right="-142"/>
        <w:jc w:val="both"/>
        <w:rPr>
          <w:rFonts w:cs="David"/>
          <w:sz w:val="28"/>
          <w:szCs w:val="28"/>
          <w:rtl/>
        </w:rPr>
      </w:pPr>
      <w:r>
        <w:rPr>
          <w:rFonts w:cs="David" w:hint="cs"/>
          <w:sz w:val="28"/>
          <w:szCs w:val="28"/>
          <w:rtl/>
        </w:rPr>
        <w:t>שם במאמרו זה סיני מגדיר הרב זצ"ל התבטאויות והתנהגויות אלו של אותם נשים מודרניות דתיות שמהוות חלק מהתנועות לשחרור האשה מהבחינה ההלכתית ככופרות ומביא את דברי הרמב"ם הלכות תשובה פ"ג ה"ח: "וכן הכופר בפירושה והיא תורשבע"פ והמכחיש מגידיה כגון צדוק ובייתוס כי מי ששולל את האמת והאמינות של התורה שבע"פ הוא צדוקי, מדוע הוסיף והמכחיש מגידיה – כלומר מי ששולל את סמכותם של חכמי המסורה? משום שתחת הקטגוריה של "כופרים בתורה" מסווגים לא רק אלה השוללים תושבע"פ, בזה אין ספק, אלא אפילו אלה המודים באמיתתה של תושבע"פ אבל מבקרים את האישיות של מי מחכמינו ... ובכ"ז צריך לראות אותם ככופרים, אדם כזה הוא כופר כיון שהוא מכחיש את שלמותם שהיא ללא דופי, ואת אמינותם בתור דוברי אמת".</w:t>
      </w:r>
    </w:p>
    <w:p w:rsidR="009835EE" w:rsidRDefault="009835EE" w:rsidP="009835EE">
      <w:pPr>
        <w:ind w:right="-142"/>
        <w:jc w:val="both"/>
        <w:rPr>
          <w:rFonts w:cs="David"/>
          <w:sz w:val="28"/>
          <w:szCs w:val="28"/>
          <w:rtl/>
        </w:rPr>
      </w:pPr>
      <w:r>
        <w:rPr>
          <w:rFonts w:cs="David" w:hint="cs"/>
          <w:sz w:val="28"/>
          <w:szCs w:val="28"/>
          <w:rtl/>
        </w:rPr>
        <w:t xml:space="preserve">יש לציין שהרב י. לוקשטיין בפסיקותיו לאותם תלמידות, ונשים שהן רשאיות להניח תפילין ולהתעטף בטלית, לא מסייג את פסיקותיו שאותן בנות ונשים ימנעו מלברך ברכת המצות על מעשה התעטפותם בציצית והנחת תפילין [הריא"ז שבשלטי גבורים הנ"ל שהובא ע"י ספר חרדים מציין שאסור לאותם נשים להניח תפילין </w:t>
      </w:r>
      <w:r>
        <w:rPr>
          <w:rFonts w:cs="David" w:hint="cs"/>
          <w:sz w:val="28"/>
          <w:szCs w:val="28"/>
          <w:u w:val="single"/>
          <w:rtl/>
        </w:rPr>
        <w:t>אפי' בלא ברכה</w:t>
      </w:r>
      <w:r>
        <w:rPr>
          <w:rFonts w:cs="David" w:hint="cs"/>
          <w:sz w:val="28"/>
          <w:szCs w:val="28"/>
          <w:rtl/>
        </w:rPr>
        <w:t xml:space="preserve"> מפני שנראה כדרך החיצוניים... ק"ו בפסיקתו של הרב לוקשטיין שפסק להם שמותר להם להניח תפילין למרות שזה בנגוד גמור לפסיקת השו"ע, ויש לראות בהנחה זו מעשה עבירה שנובע מכפירה או אפיקורסות, שאין לכך מעשה מצותי שבא מעבירה נוראה שעל מי שמברך ברכת המצות על מעשה זה עליו נאמר בוצע ברך נאץ ה', שעונים אמן על ברכה זו ומי שבמזיד אומר ברכה על זה עובר על אסור דאורייתא של הוצאת שם שמים לבטלה. וכאשר מדובר על אשה מתעטפת בטלית מובאים דברי הגר"מ פיינשטיין לעיל שכתב כלפי הנשים דתיות הלוחמות עם תנועת הנשים הפמיניסטיות בזה הלשון ".. אבל מכיון שאינו לכוונה זו אלא מצד תרעומתם על השי"ת ועל תורתו, אין זה מעשה מצוה כלל אלא אדרבא מעשה איסור שהאיסור דכפירה שחושבת דשייך שיהיה איזה חלוף בדיני התורה </w:t>
      </w:r>
      <w:r>
        <w:rPr>
          <w:rFonts w:cs="David" w:hint="cs"/>
          <w:sz w:val="28"/>
          <w:szCs w:val="28"/>
          <w:u w:val="single"/>
          <w:rtl/>
        </w:rPr>
        <w:t>היא עושית גם במעשה שהמיר</w:t>
      </w:r>
      <w:r>
        <w:rPr>
          <w:rFonts w:cs="David" w:hint="cs"/>
          <w:sz w:val="28"/>
          <w:szCs w:val="28"/>
          <w:rtl/>
        </w:rPr>
        <w:t>", וכפי שכתבנו לעיל שאפיקורסות וכפירה קיימים בדעות ובמעשה וכאשר מוציאים מהכח לפועל את מחשבות ודעות הכפירה והאפיקורסות למעשים חמור הדבר לא רק במרידה במחשבה ביסודי האמונה והדת, אלא במעשים של מרידה במלך ובמצוותיו.</w:t>
      </w:r>
    </w:p>
    <w:p w:rsidR="009835EE" w:rsidRDefault="009835EE" w:rsidP="009835EE">
      <w:pPr>
        <w:ind w:right="-142"/>
        <w:jc w:val="both"/>
        <w:rPr>
          <w:rFonts w:cs="David"/>
          <w:sz w:val="28"/>
          <w:szCs w:val="28"/>
          <w:rtl/>
        </w:rPr>
      </w:pPr>
      <w:r>
        <w:rPr>
          <w:rFonts w:cs="David" w:hint="cs"/>
          <w:sz w:val="28"/>
          <w:szCs w:val="28"/>
          <w:rtl/>
        </w:rPr>
        <w:t xml:space="preserve">הגרי"ד סולובייצ'יק בדבריו המובאים לעיל לענין הגדרת הכפירה והכופר מביא את אותם נשים מודרניות בוחנות את משפטי התורה וחוקיה על פי ערך החילוני והשקפת העולם שלהם שמעמיד את ערך שויון האשה לגבר כערך עליון"... "ומגמתם </w:t>
      </w:r>
      <w:r>
        <w:rPr>
          <w:rFonts w:cs="David" w:hint="cs"/>
          <w:sz w:val="28"/>
          <w:szCs w:val="28"/>
          <w:u w:val="single"/>
          <w:rtl/>
        </w:rPr>
        <w:t>בהתנהגותם</w:t>
      </w:r>
      <w:r>
        <w:rPr>
          <w:rFonts w:cs="David" w:hint="cs"/>
          <w:sz w:val="28"/>
          <w:szCs w:val="28"/>
          <w:rtl/>
        </w:rPr>
        <w:t xml:space="preserve"> לקבוע שערך השויון מביאה אותם למרוד בהלכות, דינים ומנהגים ולהתנהג בניגוד להלכה.</w:t>
      </w:r>
    </w:p>
    <w:p w:rsidR="009835EE" w:rsidRDefault="009835EE" w:rsidP="009835EE">
      <w:pPr>
        <w:ind w:right="-142"/>
        <w:jc w:val="both"/>
        <w:rPr>
          <w:rFonts w:cs="David"/>
          <w:sz w:val="28"/>
          <w:szCs w:val="28"/>
          <w:rtl/>
        </w:rPr>
      </w:pPr>
      <w:r>
        <w:rPr>
          <w:rFonts w:cs="David" w:hint="cs"/>
          <w:sz w:val="28"/>
          <w:szCs w:val="28"/>
          <w:rtl/>
        </w:rPr>
        <w:t xml:space="preserve">ביולי 2010 מתפרסם מסמך עקרונות עליו חתומים עשרות רבנים אורתודוקסים מישראל ומארצות הברית בו נקבעים עקרונות הלכתיים וחברתיים ביחס לאותם יהודים "חד מיניים". אחד מאותם רבנים מארה"ב </w:t>
      </w:r>
      <w:r>
        <w:rPr>
          <w:rFonts w:cs="David" w:hint="cs"/>
          <w:sz w:val="28"/>
          <w:szCs w:val="28"/>
          <w:u w:val="single"/>
          <w:rtl/>
        </w:rPr>
        <w:t>הרב יחזקאל לוקשטיין</w:t>
      </w:r>
      <w:r>
        <w:rPr>
          <w:rFonts w:cs="David" w:hint="cs"/>
          <w:sz w:val="28"/>
          <w:szCs w:val="28"/>
          <w:rtl/>
        </w:rPr>
        <w:t xml:space="preserve">. </w:t>
      </w:r>
    </w:p>
    <w:p w:rsidR="009835EE" w:rsidRDefault="009835EE" w:rsidP="009835EE">
      <w:pPr>
        <w:ind w:right="-142"/>
        <w:jc w:val="both"/>
        <w:rPr>
          <w:rFonts w:cs="David"/>
          <w:sz w:val="28"/>
          <w:szCs w:val="28"/>
          <w:rtl/>
        </w:rPr>
      </w:pPr>
      <w:r>
        <w:rPr>
          <w:rFonts w:cs="David" w:hint="cs"/>
          <w:sz w:val="28"/>
          <w:szCs w:val="28"/>
          <w:rtl/>
        </w:rPr>
        <w:t>בין העקרונות במסמך נאמר:</w:t>
      </w:r>
    </w:p>
    <w:p w:rsidR="009835EE" w:rsidRDefault="009835EE" w:rsidP="009835EE">
      <w:pPr>
        <w:ind w:right="-142"/>
        <w:jc w:val="both"/>
        <w:rPr>
          <w:rFonts w:cs="David"/>
          <w:sz w:val="28"/>
          <w:szCs w:val="28"/>
          <w:rtl/>
        </w:rPr>
      </w:pPr>
      <w:r>
        <w:rPr>
          <w:rFonts w:cs="David" w:hint="cs"/>
          <w:sz w:val="28"/>
          <w:szCs w:val="28"/>
          <w:rtl/>
        </w:rPr>
        <w:t>"ההלכה אוסרת רק מעשים הומוסקסואלים ולא נטיה או משיכה לבני אותו המין".</w:t>
      </w:r>
    </w:p>
    <w:p w:rsidR="009835EE" w:rsidRDefault="009835EE" w:rsidP="009835EE">
      <w:pPr>
        <w:ind w:right="-142"/>
        <w:jc w:val="both"/>
        <w:rPr>
          <w:rFonts w:cs="David"/>
          <w:sz w:val="28"/>
          <w:szCs w:val="28"/>
          <w:rtl/>
        </w:rPr>
      </w:pPr>
      <w:r>
        <w:rPr>
          <w:rFonts w:cs="David" w:hint="cs"/>
          <w:sz w:val="28"/>
          <w:szCs w:val="28"/>
          <w:rtl/>
        </w:rPr>
        <w:t>יהודי עם נטיות הומוסקסואליות יתקבל כחבר מלא בבית הכנסת ובבית הספר הקהילתי, והיחס אליו יהיה זהה לזה שזוכים לו אחרים. עם זאת הוא מחוייב לקבל על עצמו למלא את כל החובות הנגזרות מחברות זו, כולל אלה שנוצרו על ידי נורמות קהילתיות, או עקרונות יהודים רחבים שהם מעבר להלכה הפורמלית".</w:t>
      </w:r>
    </w:p>
    <w:p w:rsidR="009835EE" w:rsidRDefault="009835EE" w:rsidP="009835EE">
      <w:pPr>
        <w:ind w:right="-142"/>
        <w:jc w:val="both"/>
        <w:rPr>
          <w:rFonts w:cs="David"/>
          <w:sz w:val="28"/>
          <w:szCs w:val="28"/>
          <w:rtl/>
        </w:rPr>
      </w:pPr>
      <w:r>
        <w:rPr>
          <w:rFonts w:cs="David" w:hint="cs"/>
          <w:sz w:val="28"/>
          <w:szCs w:val="28"/>
          <w:rtl/>
        </w:rPr>
        <w:t xml:space="preserve">"היהדות ההלכתית לא יכולה לתת גושפנקא לטקסי מחויבות או לנישואין של בני אותו מין, אך על הקהילות להפגין רגישות ולקבל בחיבוק מלא </w:t>
      </w:r>
      <w:r>
        <w:rPr>
          <w:rFonts w:cs="David" w:hint="cs"/>
          <w:sz w:val="28"/>
          <w:szCs w:val="28"/>
          <w:u w:val="single"/>
          <w:rtl/>
        </w:rPr>
        <w:t>ילדים ביולוגים</w:t>
      </w:r>
      <w:r>
        <w:rPr>
          <w:rFonts w:cs="David" w:hint="cs"/>
          <w:sz w:val="28"/>
          <w:szCs w:val="28"/>
          <w:rtl/>
        </w:rPr>
        <w:t xml:space="preserve"> או </w:t>
      </w:r>
      <w:r>
        <w:rPr>
          <w:rFonts w:cs="David" w:hint="cs"/>
          <w:sz w:val="28"/>
          <w:szCs w:val="28"/>
          <w:u w:val="single"/>
          <w:rtl/>
        </w:rPr>
        <w:t>מאומצים</w:t>
      </w:r>
      <w:r>
        <w:rPr>
          <w:rFonts w:cs="David" w:hint="cs"/>
          <w:sz w:val="28"/>
          <w:szCs w:val="28"/>
          <w:rtl/>
        </w:rPr>
        <w:t xml:space="preserve"> של הומואים פעילים בבית כנסת ובבית הספר. אנו מעודדים הורים ובני משפחה של יהודים הומוסקסואלים לעשות כל מאמץ כדי לשמור על קשרי משפחה הרמוניים של ילדיהם"...</w:t>
      </w:r>
    </w:p>
    <w:p w:rsidR="009835EE" w:rsidRDefault="009835EE" w:rsidP="009835EE">
      <w:pPr>
        <w:ind w:right="-142"/>
        <w:jc w:val="both"/>
        <w:rPr>
          <w:rFonts w:cs="David"/>
          <w:sz w:val="28"/>
          <w:szCs w:val="28"/>
          <w:rtl/>
        </w:rPr>
      </w:pPr>
      <w:r>
        <w:rPr>
          <w:rFonts w:cs="David" w:hint="cs"/>
          <w:sz w:val="28"/>
          <w:szCs w:val="28"/>
          <w:rtl/>
        </w:rPr>
        <w:t>מסמך זה משקף הידרדרות מזעזעת של אנשים המכונים רבנים, שמתיימרים ומצהירים על עצמם נאמנים לתורת ה' ומצותיה כולל משפטי התורה, המעצבים את קדושת עם ישראל, המשפחה וקדושת כל אחד ואחת מישראל.</w:t>
      </w:r>
    </w:p>
    <w:p w:rsidR="009835EE" w:rsidRDefault="009835EE" w:rsidP="009835EE">
      <w:pPr>
        <w:ind w:right="-142"/>
        <w:jc w:val="both"/>
        <w:rPr>
          <w:rFonts w:cs="David"/>
          <w:sz w:val="28"/>
          <w:szCs w:val="28"/>
          <w:rtl/>
        </w:rPr>
      </w:pPr>
      <w:r>
        <w:rPr>
          <w:rFonts w:cs="David" w:hint="cs"/>
          <w:sz w:val="28"/>
          <w:szCs w:val="28"/>
          <w:rtl/>
        </w:rPr>
        <w:t>הלכות שנפסקו ע"י השו"ע ופוסקי הדורות ונקבעו, הרב י. לוקשטיין וחבריו כולל ראש ישיבת "חובבי תורה" אבי וייס נושאי הדגל של האורטודוקסיה המודרנית בארה"ב פסקו ג"כ במישור ההלכתי רעיוני במצות שבין אדם לחברו בהתייחס לחד מיניים, וכן ביחס ההלכתי ביחס למעמדם בקהילה ובביה"כ, הצטרפות למנין נשיאת כפים, עליה לתורה יכולים להיות שליחי צבור, וכן כשרותם להיות עדים, וכן במישור השקפת עולמם ביחס כלפי חוטאים אלו שמושפעת מערכים אוניברסליים זרים של שויון בין המינים והיחס לשונה, גם כשמדובר בהתנהגות שהתורה מגדירה אותם כתועבות ארץ מצרים שמאפיינת את הגרועים והשפלים שבאומות העולם שרואים בהתנהגות זו כתקינה ונורמטיבית, ומטיפים לחופש של כל יחיד או יחידה לנהוג בענין היחסים החד מיניים בשרירות ליבם ויצרם. פרסום הוראות הלכתיות וקביעת יחס חברתי בפרהסיה ניתן להם הגדרות הלכתיות של כופרים ואפיקורסים כפי שנתברר בהרחבה בפרק הקודם לענין טלית ותפילין לנשים.</w:t>
      </w:r>
    </w:p>
    <w:p w:rsidR="009835EE" w:rsidRDefault="009835EE" w:rsidP="009835EE">
      <w:pPr>
        <w:ind w:right="-142"/>
        <w:jc w:val="both"/>
        <w:rPr>
          <w:rFonts w:cs="David"/>
          <w:sz w:val="28"/>
          <w:szCs w:val="28"/>
          <w:rtl/>
        </w:rPr>
      </w:pPr>
      <w:r>
        <w:rPr>
          <w:rFonts w:cs="David" w:hint="cs"/>
          <w:sz w:val="28"/>
          <w:szCs w:val="28"/>
          <w:rtl/>
        </w:rPr>
        <w:t>בסעיף הראשון נאמר ש"ההלכה אוסרת רק מעשים הומוסקסואליים ולא נטיה או משיכה לבני אותו המין".</w:t>
      </w:r>
    </w:p>
    <w:p w:rsidR="009835EE" w:rsidRDefault="009835EE" w:rsidP="009835EE">
      <w:pPr>
        <w:ind w:right="-142"/>
        <w:jc w:val="both"/>
        <w:rPr>
          <w:rFonts w:cs="David"/>
          <w:sz w:val="28"/>
          <w:szCs w:val="28"/>
          <w:rtl/>
        </w:rPr>
      </w:pPr>
      <w:r>
        <w:rPr>
          <w:rFonts w:cs="David" w:hint="cs"/>
          <w:sz w:val="28"/>
          <w:szCs w:val="28"/>
          <w:rtl/>
        </w:rPr>
        <w:t xml:space="preserve">קבעו כל אותם רבנים מרבני האורתודוקסיה האמריקאית המודרנית ובתוכם הרב י. לוקשטיין ואבי וייס ורבנים הנקראים מודרנים מישראל, פסיקה שעוקרת ומתעלמת מיסודות הלכתיים שנקבעו ע"י חז"ל ונפסקו בפוסקים כולם בהם מצות והלכות כמצות דאורייתא ומדרבנן והלכות הרואות בהרהורי עבירות למעשה זנות אסור עצמי מוחלט, אע"פ שאינם מביאות לידי מעשה העבירה והזנות. </w:t>
      </w:r>
    </w:p>
    <w:p w:rsidR="009835EE" w:rsidRDefault="009835EE" w:rsidP="009835EE">
      <w:pPr>
        <w:ind w:right="-142"/>
        <w:jc w:val="both"/>
        <w:rPr>
          <w:rFonts w:cs="David"/>
          <w:sz w:val="28"/>
          <w:szCs w:val="28"/>
          <w:rtl/>
        </w:rPr>
      </w:pPr>
      <w:r>
        <w:rPr>
          <w:rFonts w:cs="David" w:hint="cs"/>
          <w:sz w:val="28"/>
          <w:szCs w:val="28"/>
          <w:rtl/>
        </w:rPr>
        <w:t xml:space="preserve">מצינו ברמב"ם ספר המצות מ' לא תעשה מ"ז "שהזהירנו שלא לתור אחרי לבבינו ... אבל נקצר מחשבותינו ונשים לה גבול תעמוד אצלו... והוא אמרו יתעלה (פ' ציצית) "ולא תתורו אחרי לבבכם ואחרי עיניכם" ... ולשון הספרי ... ואחרי עיניכם זו זנות, שנאמר: (שופטים יד) "ויאמר שמשון לאביו אותה קח לי כי היא ישרה בעיני", רוצה באומרו זו זנות המשך אחרי ההנאות והתאוות הגשמיות והתעסק במחשבה בהן תמיד. עיון בסמ"ג לאווין ט"ו וסמ"ק סי' ל', חינוך מצוה שפ"ז עיין בסמ"ק שם שמנה ללאו בפני עצמו שלא לתור אחרי העין שלא להסתכל בנשים לשם זנות ובהרשב"ש בזוהר הרקיע אות קכ"ה ושגם הכתוב חילקם באומר אחרי לבבכם ואחרי עיניכם </w:t>
      </w:r>
      <w:r>
        <w:rPr>
          <w:rFonts w:cs="David"/>
          <w:sz w:val="28"/>
          <w:szCs w:val="28"/>
          <w:rtl/>
        </w:rPr>
        <w:t>–</w:t>
      </w:r>
      <w:r>
        <w:rPr>
          <w:rFonts w:cs="David" w:hint="cs"/>
          <w:sz w:val="28"/>
          <w:szCs w:val="28"/>
          <w:rtl/>
        </w:rPr>
        <w:t xml:space="preserve"> ולא אמר אחרי לבבכם ועיניכם.</w:t>
      </w:r>
    </w:p>
    <w:p w:rsidR="009835EE" w:rsidRDefault="009835EE" w:rsidP="009835EE">
      <w:pPr>
        <w:ind w:right="-142"/>
        <w:jc w:val="both"/>
        <w:rPr>
          <w:rFonts w:cs="David"/>
          <w:sz w:val="28"/>
          <w:szCs w:val="28"/>
          <w:rtl/>
        </w:rPr>
      </w:pPr>
      <w:r>
        <w:rPr>
          <w:rFonts w:cs="David" w:hint="cs"/>
          <w:sz w:val="28"/>
          <w:szCs w:val="28"/>
          <w:rtl/>
        </w:rPr>
        <w:t>יש בין מוני המצות וסוברים שאסור מן התורה להסתכל בא"א ושאר עריות שנאמר: "ולא תתורו אחרי לבבכם ואחרי עיניכם" (במדבר ט"ז ל"ט) ומנו אסורים זה במנין המצות. עיין ברבינו יונה באגרת התשובה, ובספר חרדים מלת' פרק ב' ואורחות חיים ח"ב עמ'  112.</w:t>
      </w:r>
    </w:p>
    <w:p w:rsidR="009835EE" w:rsidRDefault="009835EE" w:rsidP="009835EE">
      <w:pPr>
        <w:ind w:right="-142"/>
        <w:jc w:val="both"/>
        <w:rPr>
          <w:rFonts w:cs="David"/>
          <w:sz w:val="28"/>
          <w:szCs w:val="28"/>
          <w:rtl/>
        </w:rPr>
      </w:pPr>
      <w:r>
        <w:rPr>
          <w:rFonts w:cs="David" w:hint="cs"/>
          <w:sz w:val="28"/>
          <w:szCs w:val="28"/>
          <w:rtl/>
        </w:rPr>
        <w:t>קביעתם של מוני המצוות דאורייתא את "זנות העיניים אחרי הנאות והתאות הגשמיות" כלשון הרמב"ם, או אסור ההסתכלות בא"א ושאר עריות שכוללות בתוכם ודאי את כל תועבות ארץ מצרים שהתורה נותנת למשכב זכור ונשים סוללות הגדרה מיוחדת של תועבה.</w:t>
      </w:r>
    </w:p>
    <w:p w:rsidR="009835EE" w:rsidRDefault="009835EE" w:rsidP="009835EE">
      <w:pPr>
        <w:ind w:right="-142"/>
        <w:jc w:val="both"/>
        <w:rPr>
          <w:rFonts w:cs="David"/>
          <w:sz w:val="28"/>
          <w:szCs w:val="28"/>
          <w:rtl/>
        </w:rPr>
      </w:pPr>
      <w:r>
        <w:rPr>
          <w:rFonts w:cs="David" w:hint="cs"/>
          <w:sz w:val="28"/>
          <w:szCs w:val="28"/>
          <w:rtl/>
        </w:rPr>
        <w:t>להלן יבואר עומק חומרת אסור חד מיניים משאר עריות של תורה.</w:t>
      </w:r>
    </w:p>
    <w:p w:rsidR="009835EE" w:rsidRDefault="009835EE" w:rsidP="009835EE">
      <w:pPr>
        <w:ind w:right="-142"/>
        <w:jc w:val="both"/>
        <w:rPr>
          <w:rFonts w:cs="David"/>
          <w:sz w:val="28"/>
          <w:szCs w:val="28"/>
          <w:rtl/>
        </w:rPr>
      </w:pPr>
      <w:r>
        <w:rPr>
          <w:rFonts w:cs="David" w:hint="cs"/>
          <w:sz w:val="28"/>
          <w:szCs w:val="28"/>
          <w:rtl/>
        </w:rPr>
        <w:t>כל אותם הרבנים כהרב י. לוקשטיין ואבי וייס וחבורת רבנים מרבני הציונות הדתית בארץ ישראל, רבני צוהר, רבני בית הלל, ורבני הקבוץ הדתי מעלמים עיניהם בזדון מכל אותם מקורות הלכתיים גלוים על תרבות הגוים השפלה ביותר, קובעים הלכות מעוותות שנסתרות לחלוטין ממצות תורתינו הקדושה, ובזה מעודדים את חילול קדושת האדם, האיש והאשה וילדיהם.</w:t>
      </w:r>
    </w:p>
    <w:p w:rsidR="009835EE" w:rsidRDefault="009835EE" w:rsidP="009835EE">
      <w:pPr>
        <w:ind w:right="-142"/>
        <w:jc w:val="both"/>
        <w:rPr>
          <w:rFonts w:cs="David"/>
          <w:sz w:val="28"/>
          <w:szCs w:val="28"/>
          <w:rtl/>
        </w:rPr>
      </w:pPr>
      <w:r>
        <w:rPr>
          <w:rFonts w:cs="David" w:hint="cs"/>
          <w:sz w:val="28"/>
          <w:szCs w:val="28"/>
          <w:rtl/>
        </w:rPr>
        <w:t xml:space="preserve">פסיקתם הנוראה והשערורייתית ועזת המצח של אותם רבנים הנקראים אורטודוקסים ובראשם הרב י. לוקשטיין ואבי וייס ועוד אחרים, ולאותם רבנים מרבני צוהר ובית הלל, והרבני הקבוץ הדתי, שההלכה אינה אוסרת רק מעשים הומוסקסואלים </w:t>
      </w:r>
      <w:r>
        <w:rPr>
          <w:rFonts w:cs="David" w:hint="cs"/>
          <w:sz w:val="28"/>
          <w:szCs w:val="28"/>
          <w:u w:val="single"/>
          <w:rtl/>
        </w:rPr>
        <w:t>ולא נטיה או משיכה</w:t>
      </w:r>
      <w:r>
        <w:rPr>
          <w:rFonts w:cs="David" w:hint="cs"/>
          <w:sz w:val="28"/>
          <w:szCs w:val="28"/>
          <w:rtl/>
        </w:rPr>
        <w:t xml:space="preserve"> עומדת בסתירה לדבריו של הרמב"ם בהלכות תשובה פ"ז הלכה ג', "אל תאמר שאין תשובה אלא מעבירות שיש בהם מעשה, כגון </w:t>
      </w:r>
      <w:r>
        <w:rPr>
          <w:rFonts w:cs="David" w:hint="cs"/>
          <w:sz w:val="28"/>
          <w:szCs w:val="28"/>
          <w:u w:val="single"/>
          <w:rtl/>
        </w:rPr>
        <w:t>זנות</w:t>
      </w:r>
      <w:r>
        <w:rPr>
          <w:rFonts w:cs="David" w:hint="cs"/>
          <w:sz w:val="28"/>
          <w:szCs w:val="28"/>
          <w:rtl/>
        </w:rPr>
        <w:t xml:space="preserve">, גזל וגניבה, אלא כשם שצריך אדם לשוב </w:t>
      </w:r>
      <w:r>
        <w:rPr>
          <w:rFonts w:cs="David" w:hint="cs"/>
          <w:sz w:val="28"/>
          <w:szCs w:val="28"/>
          <w:u w:val="single"/>
          <w:rtl/>
        </w:rPr>
        <w:t>מאלו,</w:t>
      </w:r>
      <w:r>
        <w:rPr>
          <w:rFonts w:cs="David" w:hint="cs"/>
          <w:sz w:val="28"/>
          <w:szCs w:val="28"/>
          <w:rtl/>
        </w:rPr>
        <w:t xml:space="preserve"> כך הוא צריך לחפש </w:t>
      </w:r>
      <w:r>
        <w:rPr>
          <w:rFonts w:cs="David" w:hint="cs"/>
          <w:sz w:val="28"/>
          <w:szCs w:val="28"/>
          <w:u w:val="single"/>
          <w:rtl/>
        </w:rPr>
        <w:t>בדעות</w:t>
      </w:r>
      <w:r>
        <w:rPr>
          <w:rFonts w:cs="David" w:hint="cs"/>
          <w:sz w:val="28"/>
          <w:szCs w:val="28"/>
          <w:rtl/>
        </w:rPr>
        <w:t xml:space="preserve"> רעות שיש לו". </w:t>
      </w:r>
    </w:p>
    <w:p w:rsidR="009835EE" w:rsidRDefault="004F546C" w:rsidP="009835EE">
      <w:pPr>
        <w:ind w:right="-142"/>
        <w:jc w:val="both"/>
        <w:rPr>
          <w:rFonts w:cs="David"/>
          <w:sz w:val="28"/>
          <w:szCs w:val="28"/>
          <w:rtl/>
        </w:rPr>
      </w:pPr>
      <w:r>
        <w:rPr>
          <w:rFonts w:cs="David" w:hint="cs"/>
          <w:sz w:val="28"/>
          <w:szCs w:val="28"/>
          <w:rtl/>
        </w:rPr>
        <w:t>עיין בספר</w:t>
      </w:r>
      <w:r w:rsidR="009835EE">
        <w:rPr>
          <w:rFonts w:cs="David" w:hint="cs"/>
          <w:sz w:val="28"/>
          <w:szCs w:val="28"/>
          <w:rtl/>
        </w:rPr>
        <w:t xml:space="preserve"> התשובה להגר"י יוסף כהן זצ"ל ח"ג פ"ז ברמב"ם ה"ב שהביא את דברי הרמב"ם בהל' תשובה פ"ד ה"ד ה' שכתב שם חמשה דברים שאינו חוזר בתשובה משום שקל בעינא ושם בא' ג', </w:t>
      </w:r>
      <w:r w:rsidR="009835EE">
        <w:rPr>
          <w:rFonts w:cs="David" w:hint="cs"/>
          <w:sz w:val="28"/>
          <w:szCs w:val="28"/>
          <w:u w:val="single"/>
          <w:rtl/>
        </w:rPr>
        <w:t>לענין מסתכל בעריות</w:t>
      </w:r>
      <w:r w:rsidR="009835EE">
        <w:rPr>
          <w:rFonts w:cs="David" w:hint="cs"/>
          <w:sz w:val="28"/>
          <w:szCs w:val="28"/>
          <w:rtl/>
        </w:rPr>
        <w:t xml:space="preserve"> שקל בעיניו משום שאינו גוף המעשה האיסור.</w:t>
      </w:r>
    </w:p>
    <w:p w:rsidR="009835EE" w:rsidRPr="00697A11" w:rsidRDefault="009835EE" w:rsidP="009835EE">
      <w:pPr>
        <w:ind w:right="-142"/>
        <w:jc w:val="both"/>
        <w:rPr>
          <w:rFonts w:cs="David"/>
          <w:sz w:val="28"/>
          <w:szCs w:val="28"/>
          <w:u w:val="single"/>
          <w:rtl/>
        </w:rPr>
      </w:pPr>
      <w:r>
        <w:rPr>
          <w:rFonts w:cs="David" w:hint="cs"/>
          <w:sz w:val="28"/>
          <w:szCs w:val="28"/>
          <w:rtl/>
        </w:rPr>
        <w:t>ורמב"ם שם בפ"ד ה"ה וכן יש להיזהר מן הרכילות ולשון הרע</w:t>
      </w:r>
      <w:r>
        <w:rPr>
          <w:rFonts w:cs="David" w:hint="cs"/>
          <w:sz w:val="28"/>
          <w:szCs w:val="28"/>
          <w:u w:val="single"/>
          <w:rtl/>
        </w:rPr>
        <w:t xml:space="preserve"> ומחשבה רעה</w:t>
      </w:r>
      <w:r>
        <w:rPr>
          <w:rFonts w:cs="David" w:hint="cs"/>
          <w:sz w:val="28"/>
          <w:szCs w:val="28"/>
          <w:rtl/>
        </w:rPr>
        <w:t>.</w:t>
      </w:r>
      <w:r>
        <w:rPr>
          <w:rFonts w:cs="David" w:hint="cs"/>
          <w:sz w:val="28"/>
          <w:szCs w:val="28"/>
          <w:u w:val="single"/>
          <w:rtl/>
        </w:rPr>
        <w:t xml:space="preserve"> </w:t>
      </w:r>
    </w:p>
    <w:p w:rsidR="00F92A81" w:rsidRDefault="004F546C" w:rsidP="009835EE">
      <w:pPr>
        <w:ind w:right="-142"/>
        <w:jc w:val="both"/>
        <w:rPr>
          <w:rFonts w:cs="David"/>
          <w:sz w:val="28"/>
          <w:szCs w:val="28"/>
          <w:rtl/>
        </w:rPr>
      </w:pPr>
      <w:r>
        <w:rPr>
          <w:rFonts w:cs="David" w:hint="cs"/>
          <w:sz w:val="28"/>
          <w:szCs w:val="28"/>
          <w:rtl/>
        </w:rPr>
        <w:t xml:space="preserve">הג"ר יוסף כהן זצ"ל מביא שם בפ"ד, את לשון הרמב"ם הל' מקואות פ' י"א ה' י"ב ... המכוון לבו לטהר נפשו מטומאת הנפשות שהן מחשבות </w:t>
      </w:r>
      <w:r w:rsidRPr="004F7F95">
        <w:rPr>
          <w:rFonts w:cs="David" w:hint="cs"/>
          <w:sz w:val="28"/>
          <w:szCs w:val="28"/>
          <w:u w:val="single"/>
          <w:rtl/>
        </w:rPr>
        <w:t>און ודעות רעות</w:t>
      </w:r>
      <w:r>
        <w:rPr>
          <w:rFonts w:cs="David" w:hint="cs"/>
          <w:sz w:val="28"/>
          <w:szCs w:val="28"/>
          <w:rtl/>
        </w:rPr>
        <w:t>. הרמב"ם מגדיר את מקור מ</w:t>
      </w:r>
      <w:r w:rsidR="00F92A81">
        <w:rPr>
          <w:rFonts w:cs="David" w:hint="cs"/>
          <w:sz w:val="28"/>
          <w:szCs w:val="28"/>
          <w:rtl/>
        </w:rPr>
        <w:t>עשי האון, העבירות והחטאים ומעשי רשע</w:t>
      </w:r>
      <w:r>
        <w:rPr>
          <w:rFonts w:cs="David" w:hint="cs"/>
          <w:sz w:val="28"/>
          <w:szCs w:val="28"/>
          <w:rtl/>
        </w:rPr>
        <w:t xml:space="preserve"> היא המחשה שבלב </w:t>
      </w:r>
      <w:r>
        <w:rPr>
          <w:rFonts w:cs="David"/>
          <w:sz w:val="28"/>
          <w:szCs w:val="28"/>
          <w:rtl/>
        </w:rPr>
        <w:t>–</w:t>
      </w:r>
      <w:r>
        <w:rPr>
          <w:rFonts w:cs="David" w:hint="cs"/>
          <w:sz w:val="28"/>
          <w:szCs w:val="28"/>
          <w:rtl/>
        </w:rPr>
        <w:t xml:space="preserve"> וכן המדות הרעות. </w:t>
      </w:r>
    </w:p>
    <w:p w:rsidR="009835EE" w:rsidRDefault="001F7D42" w:rsidP="009835EE">
      <w:pPr>
        <w:ind w:right="-142"/>
        <w:jc w:val="both"/>
        <w:rPr>
          <w:rFonts w:cs="David"/>
          <w:sz w:val="28"/>
          <w:szCs w:val="28"/>
          <w:rtl/>
        </w:rPr>
      </w:pPr>
      <w:r>
        <w:rPr>
          <w:rFonts w:cs="David" w:hint="cs"/>
          <w:sz w:val="28"/>
          <w:szCs w:val="28"/>
          <w:rtl/>
        </w:rPr>
        <w:t>התעלמותם</w:t>
      </w:r>
      <w:r w:rsidR="004F546C">
        <w:rPr>
          <w:rFonts w:cs="David" w:hint="cs"/>
          <w:sz w:val="28"/>
          <w:szCs w:val="28"/>
          <w:rtl/>
        </w:rPr>
        <w:t xml:space="preserve"> של רבני האורטודוקסיה המודרנית</w:t>
      </w:r>
      <w:r w:rsidR="00D801A6">
        <w:rPr>
          <w:rFonts w:cs="David" w:hint="cs"/>
          <w:sz w:val="28"/>
          <w:szCs w:val="28"/>
          <w:rtl/>
        </w:rPr>
        <w:t xml:space="preserve"> הרבנים י. לוקשטיין, פרונדל </w:t>
      </w:r>
      <w:r w:rsidR="00953095">
        <w:rPr>
          <w:rFonts w:cs="David" w:hint="cs"/>
          <w:sz w:val="28"/>
          <w:szCs w:val="28"/>
          <w:rtl/>
        </w:rPr>
        <w:t>וו</w:t>
      </w:r>
      <w:r w:rsidR="00D801A6">
        <w:rPr>
          <w:rFonts w:cs="David" w:hint="cs"/>
          <w:sz w:val="28"/>
          <w:szCs w:val="28"/>
          <w:rtl/>
        </w:rPr>
        <w:t>יס וחבריהם משורשים מקור העבי</w:t>
      </w:r>
      <w:r w:rsidR="0079571A">
        <w:rPr>
          <w:rFonts w:cs="David" w:hint="cs"/>
          <w:sz w:val="28"/>
          <w:szCs w:val="28"/>
          <w:rtl/>
        </w:rPr>
        <w:t>רה החמורה היא עזיבת דרך המוסר ש</w:t>
      </w:r>
      <w:r w:rsidR="00D801A6">
        <w:rPr>
          <w:rFonts w:cs="David" w:hint="cs"/>
          <w:sz w:val="28"/>
          <w:szCs w:val="28"/>
          <w:rtl/>
        </w:rPr>
        <w:t>ה</w:t>
      </w:r>
      <w:r w:rsidR="0079571A">
        <w:rPr>
          <w:rFonts w:cs="David" w:hint="cs"/>
          <w:sz w:val="28"/>
          <w:szCs w:val="28"/>
          <w:rtl/>
        </w:rPr>
        <w:t>י</w:t>
      </w:r>
      <w:r w:rsidR="00D801A6">
        <w:rPr>
          <w:rFonts w:cs="David" w:hint="cs"/>
          <w:sz w:val="28"/>
          <w:szCs w:val="28"/>
          <w:rtl/>
        </w:rPr>
        <w:t>א דרך מרכזית בעיצוב חיינו.</w:t>
      </w:r>
    </w:p>
    <w:p w:rsidR="00D801A6" w:rsidRDefault="00D801A6" w:rsidP="009835EE">
      <w:pPr>
        <w:ind w:right="-142"/>
        <w:jc w:val="both"/>
        <w:rPr>
          <w:rFonts w:cs="David"/>
          <w:sz w:val="28"/>
          <w:szCs w:val="28"/>
          <w:rtl/>
        </w:rPr>
      </w:pPr>
      <w:r>
        <w:rPr>
          <w:rFonts w:cs="David" w:hint="cs"/>
          <w:sz w:val="28"/>
          <w:szCs w:val="28"/>
          <w:rtl/>
        </w:rPr>
        <w:t xml:space="preserve">הפסוק במשלי פ"ד אומר "החזק במוסר אל תרף נצרה כי היא חייך", וכתב </w:t>
      </w:r>
      <w:r>
        <w:rPr>
          <w:rFonts w:cs="David" w:hint="cs"/>
          <w:sz w:val="28"/>
          <w:szCs w:val="28"/>
          <w:u w:val="single"/>
          <w:rtl/>
        </w:rPr>
        <w:t xml:space="preserve">בתנחומא פר' שלח </w:t>
      </w:r>
      <w:r>
        <w:rPr>
          <w:rFonts w:cs="David" w:hint="cs"/>
          <w:sz w:val="28"/>
          <w:szCs w:val="28"/>
          <w:rtl/>
        </w:rPr>
        <w:t xml:space="preserve">על הפסוק </w:t>
      </w:r>
      <w:r w:rsidR="00953095">
        <w:rPr>
          <w:rFonts w:cs="David" w:hint="cs"/>
          <w:sz w:val="28"/>
          <w:szCs w:val="28"/>
          <w:rtl/>
        </w:rPr>
        <w:t>"</w:t>
      </w:r>
      <w:r>
        <w:rPr>
          <w:rFonts w:cs="David" w:hint="cs"/>
          <w:sz w:val="28"/>
          <w:szCs w:val="28"/>
          <w:rtl/>
        </w:rPr>
        <w:t>ולא תתורו אחרי לבבכם</w:t>
      </w:r>
      <w:r w:rsidR="00A929C0">
        <w:rPr>
          <w:rFonts w:cs="David" w:hint="cs"/>
          <w:sz w:val="28"/>
          <w:szCs w:val="28"/>
          <w:rtl/>
        </w:rPr>
        <w:t xml:space="preserve"> </w:t>
      </w:r>
      <w:r>
        <w:rPr>
          <w:rFonts w:cs="David" w:hint="cs"/>
          <w:sz w:val="28"/>
          <w:szCs w:val="28"/>
          <w:rtl/>
        </w:rPr>
        <w:t>ואחרי עיניכם</w:t>
      </w:r>
      <w:r w:rsidR="00953095">
        <w:rPr>
          <w:rFonts w:cs="David" w:hint="cs"/>
          <w:sz w:val="28"/>
          <w:szCs w:val="28"/>
          <w:rtl/>
        </w:rPr>
        <w:t>"</w:t>
      </w:r>
      <w:r>
        <w:rPr>
          <w:rFonts w:cs="David" w:hint="cs"/>
          <w:sz w:val="28"/>
          <w:szCs w:val="28"/>
          <w:rtl/>
        </w:rPr>
        <w:t xml:space="preserve"> הלב והעינים הן סרסורים לגוף שהם מזנים את הגוף</w:t>
      </w:r>
      <w:r w:rsidR="00ED36B5">
        <w:rPr>
          <w:rFonts w:cs="David" w:hint="cs"/>
          <w:sz w:val="28"/>
          <w:szCs w:val="28"/>
          <w:rtl/>
        </w:rPr>
        <w:t>,</w:t>
      </w:r>
      <w:r>
        <w:rPr>
          <w:rFonts w:cs="David" w:hint="cs"/>
          <w:sz w:val="28"/>
          <w:szCs w:val="28"/>
          <w:rtl/>
        </w:rPr>
        <w:t xml:space="preserve"> לכך נאמר "למען תזכרו ועשיתם את כל מצותי".</w:t>
      </w:r>
    </w:p>
    <w:p w:rsidR="00D801A6" w:rsidRDefault="00D801A6" w:rsidP="009835EE">
      <w:pPr>
        <w:ind w:right="-142"/>
        <w:jc w:val="both"/>
        <w:rPr>
          <w:rFonts w:cs="David"/>
          <w:sz w:val="28"/>
          <w:szCs w:val="28"/>
          <w:rtl/>
        </w:rPr>
      </w:pPr>
      <w:r w:rsidRPr="00ED36B5">
        <w:rPr>
          <w:rFonts w:cs="David" w:hint="cs"/>
          <w:sz w:val="28"/>
          <w:szCs w:val="28"/>
          <w:u w:val="single"/>
          <w:rtl/>
        </w:rPr>
        <w:t>משל</w:t>
      </w:r>
      <w:r>
        <w:rPr>
          <w:rFonts w:cs="David" w:hint="cs"/>
          <w:sz w:val="28"/>
          <w:szCs w:val="28"/>
          <w:rtl/>
        </w:rPr>
        <w:t xml:space="preserve"> לאחד שהיה מושך לתוך המים, הושיט לו ה</w:t>
      </w:r>
      <w:r w:rsidR="00ED36B5">
        <w:rPr>
          <w:rFonts w:cs="David" w:hint="cs"/>
          <w:sz w:val="28"/>
          <w:szCs w:val="28"/>
          <w:rtl/>
        </w:rPr>
        <w:t>קברניט את החבל, אמר לו תפוס החבל</w:t>
      </w:r>
      <w:r>
        <w:rPr>
          <w:rFonts w:cs="David" w:hint="cs"/>
          <w:sz w:val="28"/>
          <w:szCs w:val="28"/>
          <w:rtl/>
        </w:rPr>
        <w:t xml:space="preserve"> הזה בידך ואל תניחהו שם</w:t>
      </w:r>
      <w:r w:rsidR="00ED36B5">
        <w:rPr>
          <w:rFonts w:cs="David" w:hint="cs"/>
          <w:sz w:val="28"/>
          <w:szCs w:val="28"/>
          <w:rtl/>
        </w:rPr>
        <w:t>, תניחהו א</w:t>
      </w:r>
      <w:r>
        <w:rPr>
          <w:rFonts w:cs="David" w:hint="cs"/>
          <w:sz w:val="28"/>
          <w:szCs w:val="28"/>
          <w:rtl/>
        </w:rPr>
        <w:t>ין לך חיים</w:t>
      </w:r>
      <w:r w:rsidR="00ED36B5">
        <w:rPr>
          <w:rFonts w:cs="David" w:hint="cs"/>
          <w:sz w:val="28"/>
          <w:szCs w:val="28"/>
          <w:rtl/>
        </w:rPr>
        <w:t>.</w:t>
      </w:r>
      <w:r>
        <w:rPr>
          <w:rFonts w:cs="David" w:hint="cs"/>
          <w:sz w:val="28"/>
          <w:szCs w:val="28"/>
          <w:rtl/>
        </w:rPr>
        <w:t xml:space="preserve"> אף כאן אמר להם הקב"ה לישראל, כל זמן שאתם מדובקים במצות נאמר עליכם </w:t>
      </w:r>
      <w:r w:rsidR="004328A8">
        <w:rPr>
          <w:rFonts w:cs="David" w:hint="cs"/>
          <w:sz w:val="28"/>
          <w:szCs w:val="28"/>
          <w:rtl/>
        </w:rPr>
        <w:t>"</w:t>
      </w:r>
      <w:r>
        <w:rPr>
          <w:rFonts w:cs="David" w:hint="cs"/>
          <w:sz w:val="28"/>
          <w:szCs w:val="28"/>
          <w:rtl/>
        </w:rPr>
        <w:t>ואתם הדבקים בה' אלוקיכם חיים כולכם היום</w:t>
      </w:r>
      <w:r w:rsidR="004328A8">
        <w:rPr>
          <w:rFonts w:cs="David" w:hint="cs"/>
          <w:sz w:val="28"/>
          <w:szCs w:val="28"/>
          <w:rtl/>
        </w:rPr>
        <w:t>"</w:t>
      </w:r>
      <w:r>
        <w:rPr>
          <w:rFonts w:cs="David" w:hint="cs"/>
          <w:sz w:val="28"/>
          <w:szCs w:val="28"/>
          <w:rtl/>
        </w:rPr>
        <w:t xml:space="preserve"> (דברים ד)</w:t>
      </w:r>
      <w:r w:rsidR="004328A8">
        <w:rPr>
          <w:rFonts w:cs="David" w:hint="cs"/>
          <w:sz w:val="28"/>
          <w:szCs w:val="28"/>
          <w:rtl/>
        </w:rPr>
        <w:t>.</w:t>
      </w:r>
      <w:r>
        <w:rPr>
          <w:rFonts w:cs="David" w:hint="cs"/>
          <w:sz w:val="28"/>
          <w:szCs w:val="28"/>
          <w:rtl/>
        </w:rPr>
        <w:t xml:space="preserve"> וכן הוא אומר "החזק במוסר אל תרף נצרה כי היא חייך (משלי ד') </w:t>
      </w:r>
      <w:r w:rsidR="00D15E1B">
        <w:rPr>
          <w:rFonts w:cs="David" w:hint="cs"/>
          <w:sz w:val="28"/>
          <w:szCs w:val="28"/>
          <w:rtl/>
        </w:rPr>
        <w:t>והייתם קדושים, בזמן שאתם עושים את המצות אתם מקדשים ואימתכם מוטלת על העכו"ם</w:t>
      </w:r>
      <w:r w:rsidR="00282C65">
        <w:rPr>
          <w:rFonts w:cs="David" w:hint="cs"/>
          <w:sz w:val="28"/>
          <w:szCs w:val="28"/>
          <w:rtl/>
        </w:rPr>
        <w:t>,</w:t>
      </w:r>
      <w:r w:rsidR="00D15E1B">
        <w:rPr>
          <w:rFonts w:cs="David" w:hint="cs"/>
          <w:sz w:val="28"/>
          <w:szCs w:val="28"/>
          <w:rtl/>
        </w:rPr>
        <w:t xml:space="preserve"> פירשתם מן המצות</w:t>
      </w:r>
      <w:r w:rsidR="00282C65">
        <w:rPr>
          <w:rFonts w:cs="David" w:hint="cs"/>
          <w:sz w:val="28"/>
          <w:szCs w:val="28"/>
          <w:rtl/>
        </w:rPr>
        <w:t>,</w:t>
      </w:r>
      <w:r w:rsidR="00D15E1B">
        <w:rPr>
          <w:rFonts w:cs="David" w:hint="cs"/>
          <w:sz w:val="28"/>
          <w:szCs w:val="28"/>
          <w:rtl/>
        </w:rPr>
        <w:t xml:space="preserve"> ועשיתם עבירות מיד מחולליו אתם".</w:t>
      </w:r>
    </w:p>
    <w:p w:rsidR="00D15E1B" w:rsidRDefault="00D15E1B" w:rsidP="009835EE">
      <w:pPr>
        <w:ind w:right="-142"/>
        <w:jc w:val="both"/>
        <w:rPr>
          <w:rFonts w:cs="David"/>
          <w:sz w:val="28"/>
          <w:szCs w:val="28"/>
          <w:rtl/>
        </w:rPr>
      </w:pPr>
      <w:r>
        <w:rPr>
          <w:rFonts w:cs="David" w:hint="cs"/>
          <w:sz w:val="28"/>
          <w:szCs w:val="28"/>
          <w:rtl/>
        </w:rPr>
        <w:t>חז"ל מגדירים א</w:t>
      </w:r>
      <w:r w:rsidR="00282C65">
        <w:rPr>
          <w:rFonts w:cs="David" w:hint="cs"/>
          <w:sz w:val="28"/>
          <w:szCs w:val="28"/>
          <w:rtl/>
        </w:rPr>
        <w:t>ת אופן המאבק על עיצוב חיים של ק</w:t>
      </w:r>
      <w:r>
        <w:rPr>
          <w:rFonts w:cs="David" w:hint="cs"/>
          <w:sz w:val="28"/>
          <w:szCs w:val="28"/>
          <w:rtl/>
        </w:rPr>
        <w:t>ד</w:t>
      </w:r>
      <w:r w:rsidR="00282C65">
        <w:rPr>
          <w:rFonts w:cs="David" w:hint="cs"/>
          <w:sz w:val="28"/>
          <w:szCs w:val="28"/>
          <w:rtl/>
        </w:rPr>
        <w:t>ו</w:t>
      </w:r>
      <w:r>
        <w:rPr>
          <w:rFonts w:cs="David" w:hint="cs"/>
          <w:sz w:val="28"/>
          <w:szCs w:val="28"/>
          <w:rtl/>
        </w:rPr>
        <w:t>שה וטהרה</w:t>
      </w:r>
      <w:r w:rsidR="00282C65">
        <w:rPr>
          <w:rFonts w:cs="David" w:hint="cs"/>
          <w:sz w:val="28"/>
          <w:szCs w:val="28"/>
          <w:rtl/>
        </w:rPr>
        <w:t>,</w:t>
      </w:r>
      <w:r>
        <w:rPr>
          <w:rFonts w:cs="David" w:hint="cs"/>
          <w:sz w:val="28"/>
          <w:szCs w:val="28"/>
          <w:rtl/>
        </w:rPr>
        <w:t xml:space="preserve"> ומתארים זאת במשל של מי שטובע בתוך המים ומאבד</w:t>
      </w:r>
      <w:r w:rsidR="00136A94">
        <w:rPr>
          <w:rFonts w:cs="David" w:hint="cs"/>
          <w:sz w:val="28"/>
          <w:szCs w:val="28"/>
          <w:rtl/>
        </w:rPr>
        <w:t xml:space="preserve"> את חייו</w:t>
      </w:r>
      <w:r w:rsidR="00047082">
        <w:rPr>
          <w:rFonts w:cs="David" w:hint="cs"/>
          <w:sz w:val="28"/>
          <w:szCs w:val="28"/>
          <w:rtl/>
        </w:rPr>
        <w:t>,</w:t>
      </w:r>
      <w:r w:rsidR="00136A94">
        <w:rPr>
          <w:rFonts w:cs="David" w:hint="cs"/>
          <w:sz w:val="28"/>
          <w:szCs w:val="28"/>
          <w:rtl/>
        </w:rPr>
        <w:t xml:space="preserve"> בה מתוארת הדרך לשמירת צביונם הקדוש והטהור</w:t>
      </w:r>
      <w:r w:rsidR="00047082">
        <w:rPr>
          <w:rFonts w:cs="David" w:hint="cs"/>
          <w:sz w:val="28"/>
          <w:szCs w:val="28"/>
          <w:rtl/>
        </w:rPr>
        <w:t>,</w:t>
      </w:r>
      <w:r w:rsidR="00136A94">
        <w:rPr>
          <w:rFonts w:cs="David" w:hint="cs"/>
          <w:sz w:val="28"/>
          <w:szCs w:val="28"/>
          <w:rtl/>
        </w:rPr>
        <w:t xml:space="preserve"> מובאים שני הפסוקים </w:t>
      </w:r>
      <w:r w:rsidR="00B84E2C">
        <w:rPr>
          <w:rFonts w:cs="David" w:hint="cs"/>
          <w:sz w:val="28"/>
          <w:szCs w:val="28"/>
          <w:rtl/>
        </w:rPr>
        <w:t>ואתם הדבק</w:t>
      </w:r>
      <w:r w:rsidR="00136A94">
        <w:rPr>
          <w:rFonts w:cs="David" w:hint="cs"/>
          <w:sz w:val="28"/>
          <w:szCs w:val="28"/>
          <w:rtl/>
        </w:rPr>
        <w:t>ים בה'</w:t>
      </w:r>
      <w:r w:rsidR="00047082">
        <w:rPr>
          <w:rFonts w:cs="David" w:hint="cs"/>
          <w:sz w:val="28"/>
          <w:szCs w:val="28"/>
          <w:rtl/>
        </w:rPr>
        <w:t>,</w:t>
      </w:r>
      <w:r w:rsidR="00136A94">
        <w:rPr>
          <w:rFonts w:cs="David" w:hint="cs"/>
          <w:sz w:val="28"/>
          <w:szCs w:val="28"/>
          <w:rtl/>
        </w:rPr>
        <w:t xml:space="preserve"> והחזק במוסר אל תרף,</w:t>
      </w:r>
      <w:r w:rsidR="00B84E2C">
        <w:rPr>
          <w:rFonts w:cs="David" w:hint="cs"/>
          <w:sz w:val="28"/>
          <w:szCs w:val="28"/>
          <w:rtl/>
        </w:rPr>
        <w:t xml:space="preserve"> </w:t>
      </w:r>
      <w:r w:rsidR="00136A94">
        <w:rPr>
          <w:rFonts w:cs="David" w:hint="cs"/>
          <w:sz w:val="28"/>
          <w:szCs w:val="28"/>
          <w:rtl/>
        </w:rPr>
        <w:t xml:space="preserve">ואתם הדברים בה', שאתם מדובקים </w:t>
      </w:r>
      <w:r w:rsidR="00136A94" w:rsidRPr="00B84E2C">
        <w:rPr>
          <w:rFonts w:cs="David" w:hint="cs"/>
          <w:sz w:val="28"/>
          <w:szCs w:val="28"/>
          <w:u w:val="single"/>
          <w:rtl/>
        </w:rPr>
        <w:t>במצות</w:t>
      </w:r>
      <w:r w:rsidR="00B84E2C">
        <w:rPr>
          <w:rFonts w:cs="David" w:hint="cs"/>
          <w:sz w:val="28"/>
          <w:szCs w:val="28"/>
          <w:rtl/>
        </w:rPr>
        <w:t>. "והחזק במוסר אל תרף שהו</w:t>
      </w:r>
      <w:r w:rsidR="00136A94">
        <w:rPr>
          <w:rFonts w:cs="David" w:hint="cs"/>
          <w:sz w:val="28"/>
          <w:szCs w:val="28"/>
          <w:rtl/>
        </w:rPr>
        <w:t xml:space="preserve">א עוסק </w:t>
      </w:r>
      <w:r w:rsidR="00B84E2C">
        <w:rPr>
          <w:rFonts w:cs="David" w:hint="cs"/>
          <w:sz w:val="28"/>
          <w:szCs w:val="28"/>
          <w:rtl/>
        </w:rPr>
        <w:t>במחשבות</w:t>
      </w:r>
      <w:r w:rsidR="00136A94">
        <w:rPr>
          <w:rFonts w:cs="David" w:hint="cs"/>
          <w:sz w:val="28"/>
          <w:szCs w:val="28"/>
          <w:rtl/>
        </w:rPr>
        <w:t xml:space="preserve"> המב</w:t>
      </w:r>
      <w:r w:rsidR="009C04BB">
        <w:rPr>
          <w:rFonts w:cs="David" w:hint="cs"/>
          <w:sz w:val="28"/>
          <w:szCs w:val="28"/>
          <w:rtl/>
        </w:rPr>
        <w:t>יאות על החטא ועקירת יסודות האמונ</w:t>
      </w:r>
      <w:r w:rsidR="00136A94">
        <w:rPr>
          <w:rFonts w:cs="David" w:hint="cs"/>
          <w:sz w:val="28"/>
          <w:szCs w:val="28"/>
          <w:rtl/>
        </w:rPr>
        <w:t>ה וה</w:t>
      </w:r>
      <w:r w:rsidR="004744A0">
        <w:rPr>
          <w:rFonts w:cs="David" w:hint="cs"/>
          <w:sz w:val="28"/>
          <w:szCs w:val="28"/>
          <w:rtl/>
        </w:rPr>
        <w:t>מוסר.</w:t>
      </w:r>
    </w:p>
    <w:p w:rsidR="009C04BB" w:rsidRDefault="004744A0" w:rsidP="009835EE">
      <w:pPr>
        <w:ind w:right="-142"/>
        <w:jc w:val="both"/>
        <w:rPr>
          <w:rFonts w:cs="David"/>
          <w:sz w:val="28"/>
          <w:szCs w:val="28"/>
          <w:rtl/>
        </w:rPr>
      </w:pPr>
      <w:r>
        <w:rPr>
          <w:rFonts w:cs="David" w:hint="cs"/>
          <w:sz w:val="28"/>
          <w:szCs w:val="28"/>
          <w:rtl/>
        </w:rPr>
        <w:t xml:space="preserve">עיין בבאור </w:t>
      </w:r>
      <w:r w:rsidR="009C04BB">
        <w:rPr>
          <w:rFonts w:cs="David" w:hint="cs"/>
          <w:sz w:val="28"/>
          <w:szCs w:val="28"/>
          <w:rtl/>
        </w:rPr>
        <w:t>"</w:t>
      </w:r>
      <w:r>
        <w:rPr>
          <w:rFonts w:cs="David" w:hint="cs"/>
          <w:sz w:val="28"/>
          <w:szCs w:val="28"/>
          <w:rtl/>
        </w:rPr>
        <w:t>עולת ראיה</w:t>
      </w:r>
      <w:r w:rsidR="009C04BB">
        <w:rPr>
          <w:rFonts w:cs="David" w:hint="cs"/>
          <w:sz w:val="28"/>
          <w:szCs w:val="28"/>
          <w:rtl/>
        </w:rPr>
        <w:t>"</w:t>
      </w:r>
      <w:r>
        <w:rPr>
          <w:rFonts w:cs="David" w:hint="cs"/>
          <w:sz w:val="28"/>
          <w:szCs w:val="28"/>
          <w:rtl/>
        </w:rPr>
        <w:t xml:space="preserve"> לסדור ממרן הרה"ר הראי"ה קוק זצ"ל</w:t>
      </w:r>
      <w:r w:rsidR="009C04BB">
        <w:rPr>
          <w:rFonts w:cs="David" w:hint="cs"/>
          <w:sz w:val="28"/>
          <w:szCs w:val="28"/>
          <w:rtl/>
        </w:rPr>
        <w:t>,</w:t>
      </w:r>
      <w:r>
        <w:rPr>
          <w:rFonts w:cs="David" w:hint="cs"/>
          <w:sz w:val="28"/>
          <w:szCs w:val="28"/>
          <w:rtl/>
        </w:rPr>
        <w:t xml:space="preserve"> על הפסוק בפרשת ציצית שבקש. </w:t>
      </w:r>
    </w:p>
    <w:p w:rsidR="00FA6F99" w:rsidRPr="00E46769" w:rsidRDefault="004744A0" w:rsidP="00E46769">
      <w:pPr>
        <w:ind w:right="-142"/>
        <w:jc w:val="both"/>
        <w:rPr>
          <w:rFonts w:cs="David"/>
          <w:sz w:val="28"/>
          <w:szCs w:val="28"/>
        </w:rPr>
      </w:pPr>
      <w:r>
        <w:rPr>
          <w:rFonts w:cs="David" w:hint="cs"/>
          <w:sz w:val="28"/>
          <w:szCs w:val="28"/>
          <w:rtl/>
        </w:rPr>
        <w:t>עיין בשעורי מרן הגרי"ש אלישיב זצ"ל על מס' ברכות מהדורת הגר"ב קוק שליט"א</w:t>
      </w:r>
      <w:r w:rsidR="0028390C">
        <w:rPr>
          <w:rFonts w:cs="David" w:hint="cs"/>
          <w:sz w:val="28"/>
          <w:szCs w:val="28"/>
          <w:rtl/>
        </w:rPr>
        <w:t xml:space="preserve"> דף ה' ע"א על דברי ר' לוי אמר רש</w:t>
      </w:r>
      <w:r>
        <w:rPr>
          <w:rFonts w:cs="David" w:hint="cs"/>
          <w:sz w:val="28"/>
          <w:szCs w:val="28"/>
          <w:rtl/>
        </w:rPr>
        <w:t>ב</w:t>
      </w:r>
      <w:r w:rsidR="0028390C">
        <w:rPr>
          <w:rFonts w:cs="David" w:hint="cs"/>
          <w:sz w:val="28"/>
          <w:szCs w:val="28"/>
          <w:rtl/>
        </w:rPr>
        <w:t>"</w:t>
      </w:r>
      <w:r>
        <w:rPr>
          <w:rFonts w:cs="David" w:hint="cs"/>
          <w:sz w:val="28"/>
          <w:szCs w:val="28"/>
          <w:rtl/>
        </w:rPr>
        <w:t>ל לעולם ירגיז אדם יצר טוב על יצר הרע ... בדרכי המאבק עם היצר הרע שהביא את דברי הגמ' בסוטה כ"א ע"א תורה מגנה ומצלה</w:t>
      </w:r>
      <w:r w:rsidR="0028390C">
        <w:rPr>
          <w:rFonts w:cs="David" w:hint="cs"/>
          <w:sz w:val="28"/>
          <w:szCs w:val="28"/>
          <w:rtl/>
        </w:rPr>
        <w:t>,</w:t>
      </w:r>
      <w:r>
        <w:rPr>
          <w:rFonts w:cs="David" w:hint="cs"/>
          <w:sz w:val="28"/>
          <w:szCs w:val="28"/>
          <w:rtl/>
        </w:rPr>
        <w:t xml:space="preserve"> וכתב שם רש"י מפני יצה"ר ופרש את שתי הדרכים כפי שמסבירים בעלי המוסר</w:t>
      </w:r>
      <w:r w:rsidR="0028390C">
        <w:rPr>
          <w:rFonts w:cs="David" w:hint="cs"/>
          <w:sz w:val="28"/>
          <w:szCs w:val="28"/>
          <w:rtl/>
        </w:rPr>
        <w:t>,</w:t>
      </w:r>
      <w:r>
        <w:rPr>
          <w:rFonts w:cs="David" w:hint="cs"/>
          <w:sz w:val="28"/>
          <w:szCs w:val="28"/>
          <w:rtl/>
        </w:rPr>
        <w:t xml:space="preserve"> רפואת התורה מיצר הרע היא סגולית שיש לתורה</w:t>
      </w:r>
      <w:r w:rsidR="005B02A3">
        <w:rPr>
          <w:rFonts w:cs="David" w:hint="cs"/>
          <w:sz w:val="28"/>
          <w:szCs w:val="28"/>
          <w:rtl/>
        </w:rPr>
        <w:t xml:space="preserve"> את הסגולה כאשר עוסקים בה</w:t>
      </w:r>
      <w:r w:rsidR="00E46769">
        <w:rPr>
          <w:rFonts w:cs="David" w:hint="cs"/>
          <w:sz w:val="28"/>
          <w:szCs w:val="28"/>
          <w:rtl/>
        </w:rPr>
        <w:t xml:space="preserve"> </w:t>
      </w:r>
      <w:r w:rsidR="005B02A3">
        <w:rPr>
          <w:rFonts w:cs="David" w:hint="cs"/>
          <w:sz w:val="28"/>
          <w:szCs w:val="28"/>
          <w:rtl/>
        </w:rPr>
        <w:t>בכוונתה רצויה לקיום מצוותיה</w:t>
      </w:r>
      <w:r w:rsidR="00E46769">
        <w:rPr>
          <w:rFonts w:cs="David" w:hint="cs"/>
          <w:sz w:val="28"/>
          <w:szCs w:val="28"/>
          <w:rtl/>
        </w:rPr>
        <w:t>,</w:t>
      </w:r>
      <w:r w:rsidR="005B02A3">
        <w:rPr>
          <w:rFonts w:cs="David" w:hint="cs"/>
          <w:sz w:val="28"/>
          <w:szCs w:val="28"/>
          <w:rtl/>
        </w:rPr>
        <w:t xml:space="preserve"> והדרך הטבעית ע"י למוד המוסר לעורר הלבבות למחשבות האון</w:t>
      </w:r>
      <w:r w:rsidR="00E46769">
        <w:rPr>
          <w:rFonts w:cs="David" w:hint="cs"/>
          <w:sz w:val="28"/>
          <w:szCs w:val="28"/>
          <w:rtl/>
        </w:rPr>
        <w:t>, הח</w:t>
      </w:r>
      <w:r w:rsidR="005B02A3">
        <w:rPr>
          <w:rFonts w:cs="David" w:hint="cs"/>
          <w:sz w:val="28"/>
          <w:szCs w:val="28"/>
          <w:rtl/>
        </w:rPr>
        <w:t>טא והעבירות ותקון המידות המוסריות ועיקרי האמונה.</w:t>
      </w:r>
    </w:p>
    <w:sectPr w:rsidR="00FA6F99" w:rsidRPr="00E46769" w:rsidSect="006C3CF1">
      <w:head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2F5" w:rsidRDefault="001652F5">
      <w:pPr>
        <w:spacing w:after="0" w:line="240" w:lineRule="auto"/>
      </w:pPr>
      <w:r>
        <w:separator/>
      </w:r>
    </w:p>
  </w:endnote>
  <w:endnote w:type="continuationSeparator" w:id="0">
    <w:p w:rsidR="001652F5" w:rsidRDefault="00165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David">
    <w:panose1 w:val="020E0502060401010101"/>
    <w:charset w:val="B1"/>
    <w:family w:val="swiss"/>
    <w:pitch w:val="variable"/>
    <w:sig w:usb0="00000801" w:usb1="00000000" w:usb2="00000000" w:usb3="00000000" w:csb0="0000002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2F5" w:rsidRDefault="001652F5">
      <w:pPr>
        <w:spacing w:after="0" w:line="240" w:lineRule="auto"/>
      </w:pPr>
      <w:r>
        <w:separator/>
      </w:r>
    </w:p>
  </w:footnote>
  <w:footnote w:type="continuationSeparator" w:id="0">
    <w:p w:rsidR="001652F5" w:rsidRDefault="001652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806051244"/>
      <w:docPartObj>
        <w:docPartGallery w:val="Page Numbers (Top of Page)"/>
        <w:docPartUnique/>
      </w:docPartObj>
    </w:sdtPr>
    <w:sdtEndPr/>
    <w:sdtContent>
      <w:p w:rsidR="00D77910" w:rsidRDefault="00C944FE">
        <w:pPr>
          <w:pStyle w:val="a4"/>
          <w:jc w:val="center"/>
          <w:rPr>
            <w:rtl/>
            <w:cs/>
          </w:rPr>
        </w:pPr>
        <w:r>
          <w:fldChar w:fldCharType="begin"/>
        </w:r>
        <w:r>
          <w:rPr>
            <w:rtl/>
            <w:cs/>
          </w:rPr>
          <w:instrText>PAGE   \* MERGEFORMAT</w:instrText>
        </w:r>
        <w:r>
          <w:fldChar w:fldCharType="separate"/>
        </w:r>
        <w:r w:rsidR="007F59F8" w:rsidRPr="007F59F8">
          <w:rPr>
            <w:noProof/>
            <w:rtl/>
            <w:lang w:val="he-IL"/>
          </w:rPr>
          <w:t>1</w:t>
        </w:r>
        <w:r>
          <w:fldChar w:fldCharType="end"/>
        </w:r>
      </w:p>
    </w:sdtContent>
  </w:sdt>
  <w:p w:rsidR="00D77910" w:rsidRDefault="001652F5">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131119"/>
    <w:multiLevelType w:val="hybridMultilevel"/>
    <w:tmpl w:val="8CE0049A"/>
    <w:lvl w:ilvl="0" w:tplc="3E62835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5EE"/>
    <w:rsid w:val="00047082"/>
    <w:rsid w:val="00136A94"/>
    <w:rsid w:val="001652F5"/>
    <w:rsid w:val="001F7D42"/>
    <w:rsid w:val="00282C65"/>
    <w:rsid w:val="0028390C"/>
    <w:rsid w:val="00350A45"/>
    <w:rsid w:val="004059CD"/>
    <w:rsid w:val="004328A8"/>
    <w:rsid w:val="004744A0"/>
    <w:rsid w:val="00497262"/>
    <w:rsid w:val="004F546C"/>
    <w:rsid w:val="004F7F95"/>
    <w:rsid w:val="005B02A3"/>
    <w:rsid w:val="006C3CF1"/>
    <w:rsid w:val="0079571A"/>
    <w:rsid w:val="007A7569"/>
    <w:rsid w:val="007F59F8"/>
    <w:rsid w:val="00953095"/>
    <w:rsid w:val="009835EE"/>
    <w:rsid w:val="009A07AA"/>
    <w:rsid w:val="009C04BB"/>
    <w:rsid w:val="00A929C0"/>
    <w:rsid w:val="00AE5697"/>
    <w:rsid w:val="00B31019"/>
    <w:rsid w:val="00B556E1"/>
    <w:rsid w:val="00B84E2C"/>
    <w:rsid w:val="00C944FE"/>
    <w:rsid w:val="00D15E1B"/>
    <w:rsid w:val="00D801A6"/>
    <w:rsid w:val="00E46769"/>
    <w:rsid w:val="00ED36B5"/>
    <w:rsid w:val="00F92A81"/>
    <w:rsid w:val="00FA6F9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5EE"/>
    <w:pPr>
      <w:bidi/>
    </w:pPr>
  </w:style>
  <w:style w:type="paragraph" w:styleId="1">
    <w:name w:val="heading 1"/>
    <w:basedOn w:val="a"/>
    <w:next w:val="a"/>
    <w:link w:val="10"/>
    <w:uiPriority w:val="9"/>
    <w:qFormat/>
    <w:rsid w:val="004059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4059CD"/>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4059CD"/>
    <w:pPr>
      <w:bidi/>
      <w:spacing w:after="0" w:line="240" w:lineRule="auto"/>
    </w:pPr>
  </w:style>
  <w:style w:type="paragraph" w:styleId="a4">
    <w:name w:val="header"/>
    <w:basedOn w:val="a"/>
    <w:link w:val="a5"/>
    <w:uiPriority w:val="99"/>
    <w:unhideWhenUsed/>
    <w:rsid w:val="009835EE"/>
    <w:pPr>
      <w:tabs>
        <w:tab w:val="center" w:pos="4153"/>
        <w:tab w:val="right" w:pos="8306"/>
      </w:tabs>
      <w:spacing w:after="0" w:line="240" w:lineRule="auto"/>
    </w:pPr>
  </w:style>
  <w:style w:type="character" w:customStyle="1" w:styleId="a5">
    <w:name w:val="כותרת עליונה תו"/>
    <w:basedOn w:val="a0"/>
    <w:link w:val="a4"/>
    <w:uiPriority w:val="99"/>
    <w:rsid w:val="009835EE"/>
  </w:style>
  <w:style w:type="paragraph" w:styleId="a6">
    <w:name w:val="List Paragraph"/>
    <w:basedOn w:val="a"/>
    <w:uiPriority w:val="34"/>
    <w:qFormat/>
    <w:rsid w:val="009835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5EE"/>
    <w:pPr>
      <w:bidi/>
    </w:pPr>
  </w:style>
  <w:style w:type="paragraph" w:styleId="1">
    <w:name w:val="heading 1"/>
    <w:basedOn w:val="a"/>
    <w:next w:val="a"/>
    <w:link w:val="10"/>
    <w:uiPriority w:val="9"/>
    <w:qFormat/>
    <w:rsid w:val="004059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4059CD"/>
    <w:rPr>
      <w:rFonts w:asciiTheme="majorHAnsi" w:eastAsiaTheme="majorEastAsia" w:hAnsiTheme="majorHAnsi" w:cstheme="majorBidi"/>
      <w:b/>
      <w:bCs/>
      <w:color w:val="365F91" w:themeColor="accent1" w:themeShade="BF"/>
      <w:sz w:val="28"/>
      <w:szCs w:val="28"/>
    </w:rPr>
  </w:style>
  <w:style w:type="paragraph" w:styleId="a3">
    <w:name w:val="No Spacing"/>
    <w:uiPriority w:val="1"/>
    <w:qFormat/>
    <w:rsid w:val="004059CD"/>
    <w:pPr>
      <w:bidi/>
      <w:spacing w:after="0" w:line="240" w:lineRule="auto"/>
    </w:pPr>
  </w:style>
  <w:style w:type="paragraph" w:styleId="a4">
    <w:name w:val="header"/>
    <w:basedOn w:val="a"/>
    <w:link w:val="a5"/>
    <w:uiPriority w:val="99"/>
    <w:unhideWhenUsed/>
    <w:rsid w:val="009835EE"/>
    <w:pPr>
      <w:tabs>
        <w:tab w:val="center" w:pos="4153"/>
        <w:tab w:val="right" w:pos="8306"/>
      </w:tabs>
      <w:spacing w:after="0" w:line="240" w:lineRule="auto"/>
    </w:pPr>
  </w:style>
  <w:style w:type="character" w:customStyle="1" w:styleId="a5">
    <w:name w:val="כותרת עליונה תו"/>
    <w:basedOn w:val="a0"/>
    <w:link w:val="a4"/>
    <w:uiPriority w:val="99"/>
    <w:rsid w:val="009835EE"/>
  </w:style>
  <w:style w:type="paragraph" w:styleId="a6">
    <w:name w:val="List Paragraph"/>
    <w:basedOn w:val="a"/>
    <w:uiPriority w:val="34"/>
    <w:qFormat/>
    <w:rsid w:val="009835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6303</Words>
  <Characters>31519</Characters>
  <Application>Microsoft Office Word</Application>
  <DocSecurity>0</DocSecurity>
  <Lines>262</Lines>
  <Paragraphs>75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37747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צביה כהן</dc:creator>
  <cp:keywords/>
  <dc:description/>
  <cp:lastModifiedBy/>
  <cp:revision>1</cp:revision>
  <dcterms:created xsi:type="dcterms:W3CDTF">2016-11-21T12:53:00Z</dcterms:created>
</cp:coreProperties>
</file>