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69D" w:rsidRDefault="00C0669D" w:rsidP="00C0669D">
      <w:pPr>
        <w:spacing w:line="240" w:lineRule="auto"/>
        <w:jc w:val="center"/>
        <w:rPr>
          <w:sz w:val="24"/>
          <w:u w:val="single"/>
          <w:rtl/>
        </w:rPr>
      </w:pPr>
      <w:bookmarkStart w:id="0" w:name="_GoBack"/>
      <w:bookmarkEnd w:id="0"/>
    </w:p>
    <w:p w:rsidR="00C0669D" w:rsidRPr="008C331B" w:rsidRDefault="00C0669D" w:rsidP="00C0669D">
      <w:pPr>
        <w:pStyle w:val="af0"/>
        <w:jc w:val="center"/>
        <w:rPr>
          <w:sz w:val="20"/>
          <w:szCs w:val="20"/>
          <w:rtl/>
        </w:rPr>
      </w:pPr>
      <w:r w:rsidRPr="008C331B">
        <w:rPr>
          <w:sz w:val="20"/>
          <w:szCs w:val="20"/>
          <w:rtl/>
        </w:rPr>
        <w:t>הכנסת</w:t>
      </w:r>
    </w:p>
    <w:p w:rsidR="008C331B" w:rsidRDefault="00BE05DD" w:rsidP="00BE05DD">
      <w:pPr>
        <w:pStyle w:val="af0"/>
        <w:jc w:val="center"/>
        <w:rPr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>הוועדה</w:t>
      </w:r>
      <w:r w:rsidR="008C331B" w:rsidRPr="008C331B">
        <w:rPr>
          <w:rFonts w:hint="cs"/>
          <w:sz w:val="20"/>
          <w:szCs w:val="20"/>
          <w:rtl/>
        </w:rPr>
        <w:t xml:space="preserve"> המיוחדת להסדרת מעמדם של תלמידי ישיבות, ושילובם של בוגרי ישיבות בשירות צבאי, בשירות לאומי-אזרחי ובתעסוקה</w:t>
      </w:r>
    </w:p>
    <w:p w:rsidR="00C0669D" w:rsidRPr="00200606" w:rsidRDefault="00200606" w:rsidP="00200606">
      <w:pPr>
        <w:spacing w:line="240" w:lineRule="auto"/>
        <w:jc w:val="center"/>
        <w:rPr>
          <w:b/>
          <w:bCs/>
          <w:sz w:val="16"/>
          <w:szCs w:val="16"/>
          <w:u w:val="single"/>
          <w:rtl/>
        </w:rPr>
      </w:pPr>
      <w:proofErr w:type="spellStart"/>
      <w:r w:rsidRPr="00200606">
        <w:rPr>
          <w:rFonts w:hint="cs"/>
          <w:b/>
          <w:bCs/>
          <w:sz w:val="16"/>
          <w:szCs w:val="16"/>
          <w:highlight w:val="yellow"/>
          <w:u w:val="single"/>
          <w:rtl/>
        </w:rPr>
        <w:t>טיוטא</w:t>
      </w:r>
      <w:proofErr w:type="spellEnd"/>
    </w:p>
    <w:p w:rsidR="00C0669D" w:rsidRPr="00C45EC2" w:rsidRDefault="00C45EC2" w:rsidP="00C45EC2">
      <w:pPr>
        <w:spacing w:line="240" w:lineRule="auto"/>
        <w:jc w:val="right"/>
        <w:rPr>
          <w:sz w:val="20"/>
          <w:szCs w:val="20"/>
          <w:rtl/>
        </w:rPr>
      </w:pPr>
      <w:r w:rsidRPr="00C45EC2">
        <w:rPr>
          <w:rFonts w:hint="cs"/>
          <w:sz w:val="20"/>
          <w:szCs w:val="20"/>
          <w:rtl/>
        </w:rPr>
        <w:t xml:space="preserve">ירושלים, כ"ז תמוז </w:t>
      </w:r>
      <w:proofErr w:type="spellStart"/>
      <w:r w:rsidRPr="00C45EC2">
        <w:rPr>
          <w:rFonts w:hint="cs"/>
          <w:sz w:val="20"/>
          <w:szCs w:val="20"/>
          <w:rtl/>
        </w:rPr>
        <w:t>התשע"ח</w:t>
      </w:r>
      <w:proofErr w:type="spellEnd"/>
    </w:p>
    <w:p w:rsidR="00C0669D" w:rsidRPr="009D44EE" w:rsidRDefault="00724C54" w:rsidP="00C45EC2">
      <w:pPr>
        <w:spacing w:line="240" w:lineRule="auto"/>
        <w:jc w:val="right"/>
        <w:rPr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>10 ביולי 2018</w:t>
      </w:r>
    </w:p>
    <w:p w:rsidR="00C45EC2" w:rsidRDefault="00C45EC2" w:rsidP="00973CCE">
      <w:pPr>
        <w:rPr>
          <w:sz w:val="20"/>
          <w:szCs w:val="20"/>
          <w:rtl/>
        </w:rPr>
      </w:pPr>
    </w:p>
    <w:p w:rsidR="00C45EC2" w:rsidRDefault="00C45EC2" w:rsidP="00973CCE">
      <w:pPr>
        <w:rPr>
          <w:sz w:val="20"/>
          <w:szCs w:val="20"/>
          <w:rtl/>
        </w:rPr>
      </w:pPr>
    </w:p>
    <w:p w:rsidR="00973CCE" w:rsidRPr="00724C54" w:rsidRDefault="00C45EC2" w:rsidP="00724C54">
      <w:pPr>
        <w:spacing w:line="276" w:lineRule="auto"/>
        <w:rPr>
          <w:sz w:val="24"/>
          <w:rtl/>
        </w:rPr>
      </w:pPr>
      <w:r w:rsidRPr="00724C54">
        <w:rPr>
          <w:rFonts w:hint="eastAsia"/>
          <w:sz w:val="24"/>
          <w:rtl/>
        </w:rPr>
        <w:t>מר</w:t>
      </w:r>
      <w:r w:rsidRPr="00724C54">
        <w:rPr>
          <w:sz w:val="24"/>
          <w:rtl/>
        </w:rPr>
        <w:t xml:space="preserve"> </w:t>
      </w:r>
      <w:r w:rsidR="008C34B8" w:rsidRPr="00724C54">
        <w:rPr>
          <w:rFonts w:hint="eastAsia"/>
          <w:sz w:val="24"/>
          <w:rtl/>
        </w:rPr>
        <w:t>צחי</w:t>
      </w:r>
      <w:r w:rsidR="008C34B8" w:rsidRPr="00724C54">
        <w:rPr>
          <w:sz w:val="24"/>
          <w:rtl/>
        </w:rPr>
        <w:t xml:space="preserve"> </w:t>
      </w:r>
      <w:r w:rsidRPr="00724C54">
        <w:rPr>
          <w:rFonts w:hint="eastAsia"/>
          <w:sz w:val="24"/>
          <w:rtl/>
        </w:rPr>
        <w:t>ברוורמן</w:t>
      </w:r>
    </w:p>
    <w:p w:rsidR="00C45EC2" w:rsidRPr="00724C54" w:rsidRDefault="00C45EC2" w:rsidP="00724C54">
      <w:pPr>
        <w:spacing w:line="276" w:lineRule="auto"/>
        <w:rPr>
          <w:sz w:val="24"/>
          <w:u w:val="single"/>
          <w:rtl/>
        </w:rPr>
      </w:pPr>
      <w:r w:rsidRPr="00724C54">
        <w:rPr>
          <w:rFonts w:hint="eastAsia"/>
          <w:sz w:val="24"/>
          <w:u w:val="single"/>
          <w:rtl/>
        </w:rPr>
        <w:t>מזכיר</w:t>
      </w:r>
      <w:r w:rsidRPr="00724C54">
        <w:rPr>
          <w:sz w:val="24"/>
          <w:u w:val="single"/>
          <w:rtl/>
        </w:rPr>
        <w:t xml:space="preserve"> </w:t>
      </w:r>
      <w:r w:rsidRPr="00724C54">
        <w:rPr>
          <w:rFonts w:hint="eastAsia"/>
          <w:sz w:val="24"/>
          <w:u w:val="single"/>
          <w:rtl/>
        </w:rPr>
        <w:t>הממשלה</w:t>
      </w:r>
    </w:p>
    <w:p w:rsidR="006C44D1" w:rsidRDefault="006C44D1" w:rsidP="00DC25D4">
      <w:pPr>
        <w:spacing w:line="240" w:lineRule="auto"/>
        <w:rPr>
          <w:sz w:val="24"/>
          <w:rtl/>
        </w:rPr>
      </w:pPr>
    </w:p>
    <w:p w:rsidR="008C34B8" w:rsidRDefault="008C34B8" w:rsidP="00DC25D4">
      <w:pPr>
        <w:jc w:val="center"/>
        <w:rPr>
          <w:szCs w:val="22"/>
          <w:rtl/>
        </w:rPr>
      </w:pPr>
    </w:p>
    <w:p w:rsidR="00C45EC2" w:rsidRPr="00724C54" w:rsidRDefault="00C45EC2" w:rsidP="003D6689">
      <w:pPr>
        <w:jc w:val="center"/>
        <w:rPr>
          <w:sz w:val="24"/>
          <w:rtl/>
        </w:rPr>
      </w:pPr>
      <w:r w:rsidRPr="00724C54">
        <w:rPr>
          <w:rFonts w:hint="eastAsia"/>
          <w:sz w:val="24"/>
          <w:rtl/>
        </w:rPr>
        <w:t>הנדון</w:t>
      </w:r>
      <w:r w:rsidRPr="00724C54">
        <w:rPr>
          <w:sz w:val="24"/>
          <w:rtl/>
        </w:rPr>
        <w:t xml:space="preserve">: </w:t>
      </w:r>
      <w:r w:rsidRPr="00724C54">
        <w:rPr>
          <w:rFonts w:hint="eastAsia"/>
          <w:sz w:val="24"/>
          <w:u w:val="single"/>
          <w:rtl/>
        </w:rPr>
        <w:t>הצעת</w:t>
      </w:r>
      <w:r w:rsidRPr="00724C54">
        <w:rPr>
          <w:sz w:val="24"/>
          <w:u w:val="single"/>
          <w:rtl/>
        </w:rPr>
        <w:t xml:space="preserve"> חוק שירות ביטחון (תיקון מס' 25) (שילוב תלמידי ישיבות), </w:t>
      </w:r>
      <w:proofErr w:type="spellStart"/>
      <w:r w:rsidRPr="00724C54">
        <w:rPr>
          <w:rFonts w:hint="eastAsia"/>
          <w:sz w:val="24"/>
          <w:u w:val="single"/>
          <w:rtl/>
        </w:rPr>
        <w:t>התשע</w:t>
      </w:r>
      <w:r w:rsidRPr="00724C54">
        <w:rPr>
          <w:sz w:val="24"/>
          <w:u w:val="single"/>
          <w:rtl/>
        </w:rPr>
        <w:t>"ח</w:t>
      </w:r>
      <w:proofErr w:type="spellEnd"/>
      <w:r w:rsidRPr="00724C54">
        <w:rPr>
          <w:rFonts w:hint="eastAsia"/>
          <w:sz w:val="24"/>
          <w:u w:val="single"/>
        </w:rPr>
        <w:t>–</w:t>
      </w:r>
      <w:r w:rsidRPr="00724C54">
        <w:rPr>
          <w:sz w:val="24"/>
          <w:u w:val="single"/>
          <w:rtl/>
        </w:rPr>
        <w:t>2018</w:t>
      </w:r>
      <w:r w:rsidRPr="00724C54">
        <w:rPr>
          <w:sz w:val="24"/>
        </w:rPr>
        <w:t xml:space="preserve"> </w:t>
      </w:r>
    </w:p>
    <w:p w:rsidR="00C45EC2" w:rsidRPr="00DC25D4" w:rsidRDefault="00C45EC2" w:rsidP="00DC25D4">
      <w:pPr>
        <w:spacing w:line="240" w:lineRule="auto"/>
        <w:jc w:val="center"/>
        <w:rPr>
          <w:sz w:val="16"/>
          <w:szCs w:val="16"/>
        </w:rPr>
      </w:pPr>
      <w:r w:rsidRPr="00DC25D4">
        <w:rPr>
          <w:rFonts w:hint="cs"/>
          <w:sz w:val="16"/>
          <w:szCs w:val="16"/>
          <w:rtl/>
        </w:rPr>
        <w:t>במענה לפנייתך מיום</w:t>
      </w:r>
      <w:r w:rsidR="00DC25D4">
        <w:rPr>
          <w:rFonts w:hint="cs"/>
          <w:sz w:val="16"/>
          <w:szCs w:val="16"/>
          <w:rtl/>
        </w:rPr>
        <w:t xml:space="preserve"> כ"ו </w:t>
      </w:r>
      <w:r w:rsidR="00077183">
        <w:rPr>
          <w:rFonts w:hint="cs"/>
          <w:sz w:val="16"/>
          <w:szCs w:val="16"/>
          <w:rtl/>
        </w:rPr>
        <w:t>ב</w:t>
      </w:r>
      <w:r w:rsidR="00DC25D4">
        <w:rPr>
          <w:rFonts w:hint="cs"/>
          <w:sz w:val="16"/>
          <w:szCs w:val="16"/>
          <w:rtl/>
        </w:rPr>
        <w:t xml:space="preserve">תמוז </w:t>
      </w:r>
      <w:proofErr w:type="spellStart"/>
      <w:r w:rsidR="00DC25D4">
        <w:rPr>
          <w:rFonts w:hint="cs"/>
          <w:sz w:val="16"/>
          <w:szCs w:val="16"/>
          <w:rtl/>
        </w:rPr>
        <w:t>התשע"ח</w:t>
      </w:r>
      <w:proofErr w:type="spellEnd"/>
      <w:r w:rsidR="00DC25D4">
        <w:rPr>
          <w:rFonts w:hint="cs"/>
          <w:sz w:val="16"/>
          <w:szCs w:val="16"/>
          <w:rtl/>
        </w:rPr>
        <w:t>,</w:t>
      </w:r>
      <w:r w:rsidRPr="00DC25D4">
        <w:rPr>
          <w:rFonts w:hint="cs"/>
          <w:sz w:val="16"/>
          <w:szCs w:val="16"/>
          <w:rtl/>
        </w:rPr>
        <w:t xml:space="preserve"> 09.07.2018</w:t>
      </w:r>
    </w:p>
    <w:p w:rsidR="00C45EC2" w:rsidRDefault="00C45EC2" w:rsidP="00C45EC2">
      <w:pPr>
        <w:rPr>
          <w:sz w:val="24"/>
        </w:rPr>
      </w:pPr>
    </w:p>
    <w:p w:rsidR="00562544" w:rsidRDefault="00416FCE" w:rsidP="00250B1A">
      <w:pPr>
        <w:pStyle w:val="af"/>
        <w:numPr>
          <w:ilvl w:val="0"/>
          <w:numId w:val="5"/>
        </w:numPr>
        <w:spacing w:line="276" w:lineRule="auto"/>
        <w:rPr>
          <w:sz w:val="24"/>
        </w:rPr>
      </w:pPr>
      <w:r>
        <w:rPr>
          <w:rFonts w:hint="cs"/>
          <w:sz w:val="24"/>
          <w:rtl/>
        </w:rPr>
        <w:t xml:space="preserve">ביום כ"א באלול </w:t>
      </w:r>
      <w:proofErr w:type="spellStart"/>
      <w:r>
        <w:rPr>
          <w:rFonts w:hint="cs"/>
          <w:sz w:val="24"/>
          <w:rtl/>
        </w:rPr>
        <w:t>התשע"ז</w:t>
      </w:r>
      <w:proofErr w:type="spellEnd"/>
      <w:r>
        <w:rPr>
          <w:rFonts w:hint="cs"/>
          <w:sz w:val="24"/>
          <w:rtl/>
        </w:rPr>
        <w:t xml:space="preserve"> (12 בספטמבר 2017) פסק בבית המשפט העליון </w:t>
      </w:r>
      <w:r w:rsidR="00456294">
        <w:rPr>
          <w:rFonts w:hint="cs"/>
          <w:sz w:val="24"/>
          <w:rtl/>
        </w:rPr>
        <w:t xml:space="preserve">כי ההסדר המעוגן בפרק ג'1 </w:t>
      </w:r>
      <w:r>
        <w:rPr>
          <w:rFonts w:hint="cs"/>
          <w:sz w:val="24"/>
          <w:rtl/>
        </w:rPr>
        <w:t xml:space="preserve"> לחוק שירות ביטחון [נוסח משולב], התשמ"ו-</w:t>
      </w:r>
      <w:r w:rsidR="00456294">
        <w:rPr>
          <w:rFonts w:hint="cs"/>
          <w:sz w:val="24"/>
          <w:rtl/>
        </w:rPr>
        <w:t>1986</w:t>
      </w:r>
      <w:r w:rsidR="00562544">
        <w:rPr>
          <w:rFonts w:hint="cs"/>
          <w:sz w:val="24"/>
          <w:rtl/>
        </w:rPr>
        <w:t xml:space="preserve">, </w:t>
      </w:r>
      <w:r w:rsidR="00456294">
        <w:rPr>
          <w:rFonts w:hint="cs"/>
          <w:sz w:val="24"/>
          <w:rtl/>
        </w:rPr>
        <w:t>שעניינו שילוב בוגרי ישיבות בשירות הצבאי</w:t>
      </w:r>
      <w:r w:rsidR="00562544">
        <w:rPr>
          <w:rFonts w:hint="cs"/>
          <w:sz w:val="24"/>
          <w:rtl/>
        </w:rPr>
        <w:t>,</w:t>
      </w:r>
      <w:r w:rsidR="00456294">
        <w:rPr>
          <w:rFonts w:hint="cs"/>
          <w:sz w:val="24"/>
          <w:rtl/>
        </w:rPr>
        <w:t xml:space="preserve"> אינו חוקתי וכי פרק זה יבוטל החל ביום ג' בתשרי </w:t>
      </w:r>
      <w:proofErr w:type="spellStart"/>
      <w:r w:rsidR="00456294">
        <w:rPr>
          <w:rFonts w:hint="cs"/>
          <w:sz w:val="24"/>
          <w:rtl/>
        </w:rPr>
        <w:t>התשע"ט</w:t>
      </w:r>
      <w:proofErr w:type="spellEnd"/>
      <w:r w:rsidR="00456294">
        <w:rPr>
          <w:rFonts w:hint="cs"/>
          <w:sz w:val="24"/>
          <w:rtl/>
        </w:rPr>
        <w:t xml:space="preserve"> (12 בספטמבר 2018). </w:t>
      </w:r>
    </w:p>
    <w:p w:rsidR="001B5648" w:rsidRPr="00195802" w:rsidRDefault="00843DC6" w:rsidP="00250B1A">
      <w:pPr>
        <w:pStyle w:val="af"/>
        <w:numPr>
          <w:ilvl w:val="0"/>
          <w:numId w:val="5"/>
        </w:numPr>
        <w:spacing w:line="276" w:lineRule="auto"/>
        <w:rPr>
          <w:sz w:val="24"/>
        </w:rPr>
      </w:pPr>
      <w:r w:rsidRPr="00456294">
        <w:rPr>
          <w:rFonts w:hint="cs"/>
          <w:sz w:val="24"/>
          <w:rtl/>
        </w:rPr>
        <w:t>ביום</w:t>
      </w:r>
      <w:r w:rsidR="007E00DF" w:rsidRPr="00456294">
        <w:rPr>
          <w:rFonts w:hint="cs"/>
          <w:sz w:val="24"/>
          <w:rtl/>
        </w:rPr>
        <w:t xml:space="preserve"> </w:t>
      </w:r>
      <w:r w:rsidR="00456294" w:rsidRPr="00456294">
        <w:rPr>
          <w:rFonts w:hint="cs"/>
          <w:sz w:val="24"/>
          <w:rtl/>
        </w:rPr>
        <w:t>י</w:t>
      </w:r>
      <w:r w:rsidR="007E1488" w:rsidRPr="00456294">
        <w:rPr>
          <w:rFonts w:hint="cs"/>
          <w:sz w:val="24"/>
          <w:rtl/>
        </w:rPr>
        <w:t>"ט</w:t>
      </w:r>
      <w:r w:rsidR="007E1488" w:rsidRPr="00195802">
        <w:rPr>
          <w:rFonts w:hint="cs"/>
          <w:sz w:val="24"/>
          <w:rtl/>
        </w:rPr>
        <w:t xml:space="preserve"> בתמוז </w:t>
      </w:r>
      <w:proofErr w:type="spellStart"/>
      <w:r w:rsidR="007E1488" w:rsidRPr="00195802">
        <w:rPr>
          <w:rFonts w:hint="cs"/>
          <w:sz w:val="24"/>
          <w:rtl/>
        </w:rPr>
        <w:t>התשע"ח</w:t>
      </w:r>
      <w:proofErr w:type="spellEnd"/>
      <w:r w:rsidR="007E1488" w:rsidRPr="00195802">
        <w:rPr>
          <w:rFonts w:hint="cs"/>
          <w:sz w:val="24"/>
          <w:rtl/>
        </w:rPr>
        <w:t xml:space="preserve"> (2 ביו</w:t>
      </w:r>
      <w:r w:rsidR="00217A90">
        <w:rPr>
          <w:rFonts w:hint="cs"/>
          <w:sz w:val="24"/>
          <w:rtl/>
        </w:rPr>
        <w:t>ל</w:t>
      </w:r>
      <w:r w:rsidR="007E1488" w:rsidRPr="00195802">
        <w:rPr>
          <w:rFonts w:hint="cs"/>
          <w:sz w:val="24"/>
          <w:rtl/>
        </w:rPr>
        <w:t>י 2018)</w:t>
      </w:r>
      <w:r w:rsidR="009D202D">
        <w:rPr>
          <w:rFonts w:hint="cs"/>
          <w:sz w:val="24"/>
          <w:rtl/>
        </w:rPr>
        <w:t>,</w:t>
      </w:r>
      <w:r w:rsidR="00722642" w:rsidRPr="00195802">
        <w:rPr>
          <w:rFonts w:hint="cs"/>
          <w:sz w:val="24"/>
          <w:rtl/>
        </w:rPr>
        <w:t xml:space="preserve"> </w:t>
      </w:r>
      <w:r w:rsidR="00710404" w:rsidRPr="00195802">
        <w:rPr>
          <w:rFonts w:hint="cs"/>
          <w:sz w:val="24"/>
          <w:rtl/>
        </w:rPr>
        <w:t xml:space="preserve">הניחה הממשלה </w:t>
      </w:r>
      <w:r w:rsidR="001334C5" w:rsidRPr="00195802">
        <w:rPr>
          <w:rFonts w:hint="cs"/>
          <w:sz w:val="24"/>
          <w:rtl/>
        </w:rPr>
        <w:t xml:space="preserve">על שולחן הכנסת </w:t>
      </w:r>
      <w:r w:rsidR="00710404" w:rsidRPr="00195802">
        <w:rPr>
          <w:rFonts w:hint="cs"/>
          <w:sz w:val="24"/>
          <w:rtl/>
        </w:rPr>
        <w:t xml:space="preserve">את הצעת חוק שירות ביטחון (תיקון מס' 25) (שילוב תלמידי ישיבות), </w:t>
      </w:r>
      <w:proofErr w:type="spellStart"/>
      <w:r w:rsidR="00710404" w:rsidRPr="00195802">
        <w:rPr>
          <w:rFonts w:hint="cs"/>
          <w:sz w:val="24"/>
          <w:rtl/>
        </w:rPr>
        <w:t>התשע"ח</w:t>
      </w:r>
      <w:proofErr w:type="spellEnd"/>
      <w:r w:rsidR="00710404" w:rsidRPr="00195802">
        <w:rPr>
          <w:rFonts w:hint="eastAsia"/>
          <w:sz w:val="24"/>
        </w:rPr>
        <w:t>–</w:t>
      </w:r>
      <w:r w:rsidR="00710404" w:rsidRPr="00195802">
        <w:rPr>
          <w:rFonts w:hint="cs"/>
          <w:sz w:val="24"/>
          <w:rtl/>
        </w:rPr>
        <w:t>2018</w:t>
      </w:r>
      <w:r w:rsidR="00250B1A">
        <w:rPr>
          <w:rFonts w:hint="cs"/>
          <w:sz w:val="24"/>
          <w:rtl/>
        </w:rPr>
        <w:t>.</w:t>
      </w:r>
      <w:r w:rsidR="00724C54">
        <w:rPr>
          <w:rFonts w:hint="cs"/>
          <w:sz w:val="24"/>
          <w:rtl/>
        </w:rPr>
        <w:t xml:space="preserve"> </w:t>
      </w:r>
      <w:r w:rsidR="009D202D">
        <w:rPr>
          <w:rFonts w:hint="cs"/>
          <w:sz w:val="24"/>
          <w:rtl/>
        </w:rPr>
        <w:t xml:space="preserve">כבר </w:t>
      </w:r>
      <w:r w:rsidR="00954ABE" w:rsidRPr="00195802">
        <w:rPr>
          <w:rFonts w:hint="cs"/>
          <w:sz w:val="24"/>
          <w:rtl/>
        </w:rPr>
        <w:t xml:space="preserve">באותו </w:t>
      </w:r>
      <w:r w:rsidR="009D202D">
        <w:rPr>
          <w:rFonts w:hint="cs"/>
          <w:sz w:val="24"/>
          <w:rtl/>
        </w:rPr>
        <w:t>ה</w:t>
      </w:r>
      <w:r w:rsidR="00954ABE" w:rsidRPr="00195802">
        <w:rPr>
          <w:rFonts w:hint="cs"/>
          <w:sz w:val="24"/>
          <w:rtl/>
        </w:rPr>
        <w:t xml:space="preserve">יום, </w:t>
      </w:r>
      <w:r w:rsidR="009D202D">
        <w:rPr>
          <w:rFonts w:hint="cs"/>
          <w:sz w:val="24"/>
          <w:rtl/>
        </w:rPr>
        <w:t xml:space="preserve">אושרה הצעת החוק במליאת הכנסת בקריאה הראשונה והיא הועברה </w:t>
      </w:r>
      <w:r w:rsidR="003D6689" w:rsidRPr="00195802">
        <w:rPr>
          <w:rFonts w:hint="cs"/>
          <w:sz w:val="24"/>
          <w:rtl/>
        </w:rPr>
        <w:t>לוועדה המיוחדת שבראשותי</w:t>
      </w:r>
      <w:r w:rsidR="003B266F">
        <w:rPr>
          <w:rFonts w:hint="cs"/>
          <w:sz w:val="24"/>
          <w:rtl/>
        </w:rPr>
        <w:t xml:space="preserve"> </w:t>
      </w:r>
      <w:r w:rsidR="009E2BBD">
        <w:rPr>
          <w:rFonts w:hint="cs"/>
          <w:sz w:val="24"/>
          <w:rtl/>
        </w:rPr>
        <w:t>(</w:t>
      </w:r>
      <w:r w:rsidR="003D6689" w:rsidRPr="00195802">
        <w:rPr>
          <w:rFonts w:hint="cs"/>
          <w:sz w:val="24"/>
          <w:rtl/>
        </w:rPr>
        <w:t>שהוקמה עוד ביום 25 ביוני 2018</w:t>
      </w:r>
      <w:r w:rsidR="009E2BBD">
        <w:rPr>
          <w:rFonts w:hint="cs"/>
          <w:sz w:val="24"/>
          <w:rtl/>
        </w:rPr>
        <w:t>)</w:t>
      </w:r>
      <w:r w:rsidR="003D6689" w:rsidRPr="00195802">
        <w:rPr>
          <w:rFonts w:hint="cs"/>
          <w:sz w:val="24"/>
          <w:rtl/>
        </w:rPr>
        <w:t>.</w:t>
      </w:r>
      <w:r w:rsidR="00722642" w:rsidRPr="00195802">
        <w:rPr>
          <w:rFonts w:hint="cs"/>
          <w:sz w:val="24"/>
          <w:rtl/>
        </w:rPr>
        <w:t xml:space="preserve"> </w:t>
      </w:r>
    </w:p>
    <w:p w:rsidR="001B5648" w:rsidRPr="0033792E" w:rsidRDefault="00DC25D4" w:rsidP="00456294">
      <w:pPr>
        <w:pStyle w:val="af"/>
        <w:numPr>
          <w:ilvl w:val="0"/>
          <w:numId w:val="5"/>
        </w:numPr>
        <w:spacing w:line="276" w:lineRule="auto"/>
        <w:rPr>
          <w:sz w:val="24"/>
        </w:rPr>
      </w:pPr>
      <w:r w:rsidRPr="00195802">
        <w:rPr>
          <w:rFonts w:hint="cs"/>
          <w:sz w:val="24"/>
          <w:rtl/>
        </w:rPr>
        <w:t>למחרת</w:t>
      </w:r>
      <w:r w:rsidR="00722642" w:rsidRPr="00195802">
        <w:rPr>
          <w:rFonts w:hint="cs"/>
          <w:sz w:val="24"/>
          <w:rtl/>
        </w:rPr>
        <w:t xml:space="preserve">, </w:t>
      </w:r>
      <w:r w:rsidR="008C34B8" w:rsidRPr="00195802">
        <w:rPr>
          <w:rFonts w:hint="cs"/>
          <w:sz w:val="24"/>
          <w:rtl/>
        </w:rPr>
        <w:t xml:space="preserve">ביום </w:t>
      </w:r>
      <w:r w:rsidR="00722642" w:rsidRPr="00195802">
        <w:rPr>
          <w:rFonts w:hint="cs"/>
          <w:sz w:val="24"/>
          <w:rtl/>
        </w:rPr>
        <w:t xml:space="preserve">כ' בתמוז </w:t>
      </w:r>
      <w:proofErr w:type="spellStart"/>
      <w:r w:rsidR="00722642" w:rsidRPr="00195802">
        <w:rPr>
          <w:rFonts w:hint="cs"/>
          <w:sz w:val="24"/>
          <w:rtl/>
        </w:rPr>
        <w:t>התשע"ח</w:t>
      </w:r>
      <w:proofErr w:type="spellEnd"/>
      <w:r w:rsidR="00722642" w:rsidRPr="00195802">
        <w:rPr>
          <w:rFonts w:hint="cs"/>
          <w:sz w:val="24"/>
          <w:rtl/>
        </w:rPr>
        <w:t xml:space="preserve"> (</w:t>
      </w:r>
      <w:r w:rsidR="00217A90">
        <w:rPr>
          <w:rFonts w:hint="cs"/>
          <w:sz w:val="24"/>
          <w:rtl/>
        </w:rPr>
        <w:t>3 ביולי 2018</w:t>
      </w:r>
      <w:r w:rsidR="00722642" w:rsidRPr="00195802">
        <w:rPr>
          <w:rFonts w:hint="cs"/>
          <w:sz w:val="24"/>
          <w:rtl/>
        </w:rPr>
        <w:t>)</w:t>
      </w:r>
      <w:r w:rsidR="009D202D">
        <w:rPr>
          <w:rFonts w:hint="cs"/>
          <w:sz w:val="24"/>
          <w:rtl/>
        </w:rPr>
        <w:t>,</w:t>
      </w:r>
      <w:r w:rsidR="00722642" w:rsidRPr="00195802">
        <w:rPr>
          <w:rFonts w:hint="cs"/>
          <w:sz w:val="24"/>
          <w:rtl/>
        </w:rPr>
        <w:t xml:space="preserve"> התכנסה הוועדה לדיון ראשון בהצעת החוק</w:t>
      </w:r>
      <w:r w:rsidR="00195802">
        <w:rPr>
          <w:rFonts w:hint="cs"/>
          <w:sz w:val="24"/>
          <w:rtl/>
        </w:rPr>
        <w:t>,</w:t>
      </w:r>
      <w:r w:rsidR="008C34B8" w:rsidRPr="00195802">
        <w:rPr>
          <w:rFonts w:hint="cs"/>
          <w:sz w:val="24"/>
          <w:rtl/>
        </w:rPr>
        <w:t xml:space="preserve"> ומאז קיימה ארבעה דיונים שנמשכו שעות ארוכות. במהלך הדיונים הוצגו ההסדרים </w:t>
      </w:r>
      <w:r w:rsidR="003D6689" w:rsidRPr="00195802">
        <w:rPr>
          <w:rFonts w:hint="cs"/>
          <w:sz w:val="24"/>
          <w:rtl/>
        </w:rPr>
        <w:t>המוצעים</w:t>
      </w:r>
      <w:r w:rsidR="008C34B8" w:rsidRPr="00195802">
        <w:rPr>
          <w:rFonts w:hint="cs"/>
          <w:sz w:val="24"/>
          <w:rtl/>
        </w:rPr>
        <w:t xml:space="preserve"> בהצעת החוק</w:t>
      </w:r>
      <w:r w:rsidR="009E2BBD">
        <w:rPr>
          <w:rFonts w:hint="cs"/>
          <w:sz w:val="24"/>
          <w:rtl/>
        </w:rPr>
        <w:t xml:space="preserve">, החל שיח מעמיק בין </w:t>
      </w:r>
      <w:r w:rsidR="009E2BBD" w:rsidRPr="00195802">
        <w:rPr>
          <w:rFonts w:hint="cs"/>
          <w:sz w:val="24"/>
          <w:rtl/>
        </w:rPr>
        <w:t>חברי הוועדה</w:t>
      </w:r>
      <w:r w:rsidR="008C34B8" w:rsidRPr="00195802">
        <w:rPr>
          <w:rFonts w:hint="cs"/>
          <w:sz w:val="24"/>
          <w:rtl/>
        </w:rPr>
        <w:t>, נשמעו התייחסויות של נציגי הממשלה</w:t>
      </w:r>
      <w:r w:rsidR="00217A90" w:rsidRPr="00217A90">
        <w:rPr>
          <w:rFonts w:hint="cs"/>
          <w:sz w:val="24"/>
          <w:rtl/>
        </w:rPr>
        <w:t xml:space="preserve"> </w:t>
      </w:r>
      <w:r w:rsidR="00217A90" w:rsidRPr="00195802">
        <w:rPr>
          <w:rFonts w:hint="cs"/>
          <w:sz w:val="24"/>
          <w:rtl/>
        </w:rPr>
        <w:t>והצוות המשפטי של הוועדה</w:t>
      </w:r>
      <w:r w:rsidR="00217A90">
        <w:rPr>
          <w:rFonts w:hint="cs"/>
          <w:sz w:val="24"/>
          <w:rtl/>
        </w:rPr>
        <w:t>.</w:t>
      </w:r>
      <w:r w:rsidR="008C34B8" w:rsidRPr="00195802">
        <w:rPr>
          <w:rFonts w:hint="cs"/>
          <w:sz w:val="24"/>
          <w:rtl/>
        </w:rPr>
        <w:t xml:space="preserve"> </w:t>
      </w:r>
    </w:p>
    <w:p w:rsidR="0033792E" w:rsidRDefault="009D202D" w:rsidP="00562544">
      <w:pPr>
        <w:pStyle w:val="af"/>
        <w:numPr>
          <w:ilvl w:val="0"/>
          <w:numId w:val="5"/>
        </w:numPr>
        <w:spacing w:line="276" w:lineRule="auto"/>
        <w:rPr>
          <w:sz w:val="24"/>
        </w:rPr>
      </w:pPr>
      <w:r w:rsidRPr="0033792E">
        <w:rPr>
          <w:rFonts w:hint="cs"/>
          <w:sz w:val="24"/>
          <w:rtl/>
        </w:rPr>
        <w:t xml:space="preserve">כידוע, </w:t>
      </w:r>
      <w:r w:rsidR="00562544">
        <w:rPr>
          <w:rFonts w:hint="cs"/>
          <w:sz w:val="24"/>
          <w:rtl/>
        </w:rPr>
        <w:t>הצעה זו</w:t>
      </w:r>
      <w:r w:rsidR="008C34B8" w:rsidRPr="0033792E">
        <w:rPr>
          <w:rFonts w:hint="cs"/>
          <w:sz w:val="24"/>
          <w:rtl/>
        </w:rPr>
        <w:t xml:space="preserve"> מעוררת שאלות חברתיות עקרוניות, </w:t>
      </w:r>
      <w:r w:rsidRPr="0033792E">
        <w:rPr>
          <w:rFonts w:hint="cs"/>
          <w:sz w:val="24"/>
          <w:rtl/>
        </w:rPr>
        <w:t xml:space="preserve">רגישות ומורכבות, </w:t>
      </w:r>
      <w:r w:rsidR="00810119">
        <w:rPr>
          <w:rFonts w:hint="cs"/>
          <w:sz w:val="24"/>
          <w:rtl/>
        </w:rPr>
        <w:t>ה</w:t>
      </w:r>
      <w:r w:rsidR="008C34B8" w:rsidRPr="0033792E">
        <w:rPr>
          <w:rFonts w:hint="cs"/>
          <w:sz w:val="24"/>
          <w:rtl/>
        </w:rPr>
        <w:t xml:space="preserve">מצויות בליבו של שיח ציבורי </w:t>
      </w:r>
      <w:r w:rsidR="00217A90" w:rsidRPr="0033792E">
        <w:rPr>
          <w:rFonts w:hint="cs"/>
          <w:sz w:val="24"/>
          <w:rtl/>
        </w:rPr>
        <w:t xml:space="preserve">נוקב </w:t>
      </w:r>
      <w:r w:rsidR="003D6689" w:rsidRPr="0033792E">
        <w:rPr>
          <w:rFonts w:hint="cs"/>
          <w:sz w:val="24"/>
          <w:rtl/>
        </w:rPr>
        <w:t>מזה עשרות שנים</w:t>
      </w:r>
      <w:r w:rsidR="008C34B8" w:rsidRPr="0033792E">
        <w:rPr>
          <w:rFonts w:hint="cs"/>
          <w:sz w:val="24"/>
          <w:rtl/>
        </w:rPr>
        <w:t xml:space="preserve">. </w:t>
      </w:r>
      <w:r w:rsidR="00CB478C" w:rsidRPr="0033792E">
        <w:rPr>
          <w:rFonts w:hint="cs"/>
          <w:sz w:val="24"/>
          <w:rtl/>
        </w:rPr>
        <w:t xml:space="preserve">בנוסף, במהלך הטיפול בהצעת החוק נוכחתי כי ההסדרים המוצעים בהצעת החוק </w:t>
      </w:r>
      <w:r w:rsidR="00456294">
        <w:rPr>
          <w:rFonts w:hint="cs"/>
          <w:sz w:val="24"/>
          <w:rtl/>
        </w:rPr>
        <w:t>אינם בשלים דיים ו</w:t>
      </w:r>
      <w:r w:rsidR="00456294" w:rsidRPr="0033792E">
        <w:rPr>
          <w:rFonts w:hint="cs"/>
          <w:sz w:val="24"/>
          <w:rtl/>
        </w:rPr>
        <w:t>מחייבים בחינה וליבון מעמיקים של הסוגיות הרלוונטיות. זאת</w:t>
      </w:r>
      <w:r w:rsidR="00456294">
        <w:rPr>
          <w:rFonts w:hint="cs"/>
          <w:sz w:val="24"/>
          <w:rtl/>
        </w:rPr>
        <w:t>,</w:t>
      </w:r>
      <w:r w:rsidR="00456294" w:rsidRPr="0033792E">
        <w:rPr>
          <w:rFonts w:hint="cs"/>
          <w:sz w:val="24"/>
          <w:rtl/>
        </w:rPr>
        <w:t xml:space="preserve"> גם לאור התהליכים הפנימיים שעוברת החברה החרדית</w:t>
      </w:r>
      <w:r w:rsidR="00456294">
        <w:rPr>
          <w:rFonts w:hint="cs"/>
          <w:sz w:val="24"/>
          <w:rtl/>
        </w:rPr>
        <w:t xml:space="preserve"> ולאור ה</w:t>
      </w:r>
      <w:r w:rsidR="00456294" w:rsidRPr="0033792E">
        <w:rPr>
          <w:rFonts w:hint="cs"/>
          <w:sz w:val="24"/>
          <w:rtl/>
        </w:rPr>
        <w:t xml:space="preserve">מחלוקת </w:t>
      </w:r>
      <w:r w:rsidR="00456294">
        <w:rPr>
          <w:rFonts w:hint="cs"/>
          <w:sz w:val="24"/>
          <w:rtl/>
        </w:rPr>
        <w:t>ה</w:t>
      </w:r>
      <w:r w:rsidR="00456294" w:rsidRPr="0033792E">
        <w:rPr>
          <w:rFonts w:hint="cs"/>
          <w:sz w:val="24"/>
          <w:rtl/>
        </w:rPr>
        <w:t xml:space="preserve">עמוקה </w:t>
      </w:r>
      <w:r w:rsidR="00456294">
        <w:rPr>
          <w:rFonts w:hint="cs"/>
          <w:sz w:val="24"/>
          <w:rtl/>
        </w:rPr>
        <w:t>ביחסה לסוגי</w:t>
      </w:r>
      <w:r w:rsidR="00456294" w:rsidRPr="0033792E">
        <w:rPr>
          <w:rFonts w:hint="cs"/>
          <w:sz w:val="24"/>
          <w:rtl/>
        </w:rPr>
        <w:t>ה זו, ובכלל זה אף לטיבו של המתווה הראוי</w:t>
      </w:r>
      <w:r w:rsidR="00456294">
        <w:rPr>
          <w:rFonts w:hint="cs"/>
          <w:sz w:val="24"/>
          <w:rtl/>
        </w:rPr>
        <w:t xml:space="preserve">. </w:t>
      </w:r>
    </w:p>
    <w:p w:rsidR="00810119" w:rsidRDefault="00CB478C" w:rsidP="00AF64C6">
      <w:pPr>
        <w:pStyle w:val="af"/>
        <w:numPr>
          <w:ilvl w:val="0"/>
          <w:numId w:val="5"/>
        </w:numPr>
        <w:spacing w:line="276" w:lineRule="auto"/>
        <w:rPr>
          <w:sz w:val="24"/>
        </w:rPr>
      </w:pPr>
      <w:r w:rsidRPr="0033792E">
        <w:rPr>
          <w:rFonts w:hint="cs"/>
          <w:sz w:val="24"/>
          <w:rtl/>
        </w:rPr>
        <w:t>הוועדה המיוחדת בראשותי שואפת לגבש הסדר מקיף וראוי, על בסיס הסכמה רחבה</w:t>
      </w:r>
      <w:r w:rsidR="00AF64C6">
        <w:rPr>
          <w:rFonts w:hint="cs"/>
          <w:sz w:val="24"/>
          <w:rtl/>
        </w:rPr>
        <w:t>,</w:t>
      </w:r>
      <w:r w:rsidR="00562544">
        <w:rPr>
          <w:rFonts w:hint="cs"/>
          <w:sz w:val="24"/>
          <w:rtl/>
        </w:rPr>
        <w:t xml:space="preserve"> ובהתייחס</w:t>
      </w:r>
      <w:r w:rsidR="007112A8" w:rsidRPr="0033792E">
        <w:rPr>
          <w:rFonts w:hint="cs"/>
          <w:sz w:val="24"/>
          <w:rtl/>
        </w:rPr>
        <w:t xml:space="preserve"> </w:t>
      </w:r>
      <w:r w:rsidRPr="0033792E">
        <w:rPr>
          <w:rFonts w:hint="cs"/>
          <w:sz w:val="24"/>
          <w:rtl/>
        </w:rPr>
        <w:t>לקביעות בית המשפט העליון ב</w:t>
      </w:r>
      <w:r w:rsidR="00250B1A">
        <w:rPr>
          <w:rFonts w:hint="cs"/>
          <w:sz w:val="24"/>
          <w:rtl/>
        </w:rPr>
        <w:t xml:space="preserve">פסקי הדין </w:t>
      </w:r>
      <w:r w:rsidR="00562544">
        <w:rPr>
          <w:rFonts w:hint="cs"/>
          <w:sz w:val="24"/>
          <w:rtl/>
        </w:rPr>
        <w:t>שניתנו ב</w:t>
      </w:r>
      <w:r w:rsidRPr="0033792E">
        <w:rPr>
          <w:rFonts w:hint="cs"/>
          <w:sz w:val="24"/>
          <w:rtl/>
        </w:rPr>
        <w:t>מהלך השנים.</w:t>
      </w:r>
      <w:r w:rsidR="0033792E">
        <w:rPr>
          <w:rFonts w:hint="cs"/>
          <w:sz w:val="24"/>
          <w:rtl/>
        </w:rPr>
        <w:t xml:space="preserve"> </w:t>
      </w:r>
    </w:p>
    <w:p w:rsidR="00810119" w:rsidRDefault="00CB478C" w:rsidP="00AF64C6">
      <w:pPr>
        <w:pStyle w:val="af"/>
        <w:numPr>
          <w:ilvl w:val="0"/>
          <w:numId w:val="5"/>
        </w:numPr>
        <w:spacing w:line="276" w:lineRule="auto"/>
        <w:rPr>
          <w:sz w:val="24"/>
        </w:rPr>
      </w:pPr>
      <w:r>
        <w:rPr>
          <w:rFonts w:hint="cs"/>
          <w:sz w:val="24"/>
          <w:rtl/>
        </w:rPr>
        <w:t xml:space="preserve">נוכחתי כי </w:t>
      </w:r>
      <w:r w:rsidR="007112A8">
        <w:rPr>
          <w:rFonts w:hint="cs"/>
          <w:sz w:val="24"/>
          <w:rtl/>
        </w:rPr>
        <w:t xml:space="preserve">לעת עתה </w:t>
      </w:r>
      <w:r>
        <w:rPr>
          <w:rFonts w:hint="cs"/>
          <w:sz w:val="24"/>
          <w:rtl/>
        </w:rPr>
        <w:t xml:space="preserve">לא </w:t>
      </w:r>
      <w:r w:rsidR="00562544">
        <w:rPr>
          <w:rFonts w:hint="cs"/>
          <w:sz w:val="24"/>
          <w:rtl/>
        </w:rPr>
        <w:t>ניתן</w:t>
      </w:r>
      <w:r>
        <w:rPr>
          <w:rFonts w:hint="cs"/>
          <w:sz w:val="24"/>
          <w:rtl/>
        </w:rPr>
        <w:t xml:space="preserve"> </w:t>
      </w:r>
      <w:r w:rsidR="00562544">
        <w:rPr>
          <w:rFonts w:hint="cs"/>
          <w:sz w:val="24"/>
          <w:rtl/>
        </w:rPr>
        <w:t xml:space="preserve">לגבש מתווה </w:t>
      </w:r>
      <w:r w:rsidR="00AF64C6">
        <w:rPr>
          <w:rFonts w:hint="cs"/>
          <w:sz w:val="24"/>
          <w:rtl/>
        </w:rPr>
        <w:t>סדור וסופי</w:t>
      </w:r>
      <w:r w:rsidR="00C06903">
        <w:rPr>
          <w:rFonts w:hint="cs"/>
          <w:sz w:val="24"/>
          <w:rtl/>
        </w:rPr>
        <w:t xml:space="preserve"> </w:t>
      </w:r>
      <w:r w:rsidR="0033792E">
        <w:rPr>
          <w:rFonts w:hint="cs"/>
          <w:sz w:val="24"/>
          <w:rtl/>
        </w:rPr>
        <w:t xml:space="preserve">מה </w:t>
      </w:r>
      <w:r w:rsidR="00C06903">
        <w:rPr>
          <w:rFonts w:hint="cs"/>
          <w:sz w:val="24"/>
          <w:rtl/>
        </w:rPr>
        <w:t xml:space="preserve">גם </w:t>
      </w:r>
      <w:r w:rsidR="0033792E">
        <w:rPr>
          <w:rFonts w:hint="cs"/>
          <w:sz w:val="24"/>
          <w:rtl/>
        </w:rPr>
        <w:t>ש</w:t>
      </w:r>
      <w:r w:rsidR="00C06903">
        <w:rPr>
          <w:rFonts w:hint="cs"/>
          <w:sz w:val="24"/>
          <w:rtl/>
        </w:rPr>
        <w:t xml:space="preserve">ניסיון העבר מלמד כי הטיפול בסוגיה זו חייב </w:t>
      </w:r>
      <w:r w:rsidR="00562544">
        <w:rPr>
          <w:rFonts w:hint="cs"/>
          <w:sz w:val="24"/>
          <w:rtl/>
        </w:rPr>
        <w:t xml:space="preserve">להיות </w:t>
      </w:r>
      <w:r w:rsidR="00C06903">
        <w:rPr>
          <w:rFonts w:hint="cs"/>
          <w:sz w:val="24"/>
          <w:rtl/>
        </w:rPr>
        <w:t>זהיר ו</w:t>
      </w:r>
      <w:r w:rsidR="00C06903" w:rsidRPr="00195802">
        <w:rPr>
          <w:rFonts w:hint="cs"/>
          <w:sz w:val="24"/>
          <w:rtl/>
        </w:rPr>
        <w:t>מכבד</w:t>
      </w:r>
      <w:r w:rsidR="00C06903">
        <w:rPr>
          <w:rFonts w:hint="cs"/>
          <w:sz w:val="24"/>
          <w:rtl/>
        </w:rPr>
        <w:t>.</w:t>
      </w:r>
      <w:r w:rsidR="00810119" w:rsidRPr="00810119">
        <w:rPr>
          <w:rFonts w:hint="eastAsia"/>
          <w:sz w:val="24"/>
          <w:rtl/>
        </w:rPr>
        <w:t xml:space="preserve"> </w:t>
      </w:r>
      <w:r w:rsidR="00810119" w:rsidRPr="009D202D">
        <w:rPr>
          <w:rFonts w:hint="eastAsia"/>
          <w:sz w:val="24"/>
          <w:rtl/>
        </w:rPr>
        <w:t>אני</w:t>
      </w:r>
      <w:r w:rsidR="00810119" w:rsidRPr="009D202D">
        <w:rPr>
          <w:sz w:val="24"/>
          <w:rtl/>
        </w:rPr>
        <w:t xml:space="preserve"> צופה כי </w:t>
      </w:r>
      <w:r w:rsidR="00810119">
        <w:rPr>
          <w:rFonts w:hint="cs"/>
          <w:sz w:val="24"/>
          <w:rtl/>
        </w:rPr>
        <w:t>התהליך</w:t>
      </w:r>
      <w:r w:rsidR="00810119" w:rsidRPr="009D202D">
        <w:rPr>
          <w:sz w:val="24"/>
          <w:rtl/>
        </w:rPr>
        <w:t xml:space="preserve"> עשוי </w:t>
      </w:r>
      <w:r w:rsidR="00810119">
        <w:rPr>
          <w:rFonts w:hint="cs"/>
          <w:sz w:val="24"/>
          <w:rtl/>
        </w:rPr>
        <w:t>לארוך זמן</w:t>
      </w:r>
      <w:r w:rsidR="00810119" w:rsidRPr="007112A8">
        <w:rPr>
          <w:rFonts w:hint="cs"/>
          <w:sz w:val="24"/>
          <w:rtl/>
        </w:rPr>
        <w:t xml:space="preserve"> </w:t>
      </w:r>
      <w:r w:rsidR="00810119">
        <w:rPr>
          <w:rFonts w:hint="cs"/>
          <w:sz w:val="24"/>
          <w:rtl/>
        </w:rPr>
        <w:t xml:space="preserve">ונדרשים עוד </w:t>
      </w:r>
      <w:r w:rsidR="00456294">
        <w:rPr>
          <w:rFonts w:hint="cs"/>
          <w:sz w:val="24"/>
          <w:rtl/>
        </w:rPr>
        <w:t>מספר</w:t>
      </w:r>
      <w:r w:rsidR="00810119">
        <w:rPr>
          <w:rFonts w:hint="cs"/>
          <w:sz w:val="24"/>
          <w:rtl/>
        </w:rPr>
        <w:t xml:space="preserve"> חודשים</w:t>
      </w:r>
      <w:r w:rsidR="00810119" w:rsidRPr="007112A8">
        <w:rPr>
          <w:rFonts w:hint="cs"/>
          <w:sz w:val="24"/>
          <w:rtl/>
        </w:rPr>
        <w:t xml:space="preserve"> </w:t>
      </w:r>
      <w:r w:rsidR="00810119">
        <w:rPr>
          <w:rFonts w:hint="cs"/>
          <w:sz w:val="24"/>
          <w:rtl/>
        </w:rPr>
        <w:t>להשלמת הליכי החקיקה.</w:t>
      </w:r>
      <w:r w:rsidR="00810119" w:rsidRPr="0033792E">
        <w:rPr>
          <w:rFonts w:hint="cs"/>
          <w:sz w:val="24"/>
          <w:rtl/>
        </w:rPr>
        <w:t xml:space="preserve"> </w:t>
      </w:r>
    </w:p>
    <w:p w:rsidR="003A38B7" w:rsidRDefault="003A38B7" w:rsidP="003A38B7">
      <w:pPr>
        <w:pStyle w:val="af"/>
        <w:spacing w:line="276" w:lineRule="auto"/>
        <w:rPr>
          <w:sz w:val="24"/>
          <w:rtl/>
        </w:rPr>
      </w:pPr>
    </w:p>
    <w:p w:rsidR="00724C54" w:rsidRDefault="00724C54" w:rsidP="00DC25D4">
      <w:pPr>
        <w:pStyle w:val="af"/>
        <w:jc w:val="right"/>
        <w:rPr>
          <w:sz w:val="24"/>
          <w:rtl/>
        </w:rPr>
      </w:pPr>
    </w:p>
    <w:p w:rsidR="00724C54" w:rsidRDefault="00200606" w:rsidP="00200606">
      <w:pPr>
        <w:pStyle w:val="af"/>
        <w:jc w:val="center"/>
        <w:rPr>
          <w:sz w:val="24"/>
          <w:rtl/>
        </w:rPr>
      </w:pPr>
      <w:r>
        <w:rPr>
          <w:rFonts w:hint="cs"/>
          <w:sz w:val="24"/>
          <w:rtl/>
        </w:rPr>
        <w:t xml:space="preserve">                                                                                                                    </w:t>
      </w:r>
      <w:r w:rsidR="00724C54">
        <w:rPr>
          <w:rFonts w:hint="cs"/>
          <w:sz w:val="24"/>
          <w:rtl/>
        </w:rPr>
        <w:t>בכבוד רב,</w:t>
      </w:r>
    </w:p>
    <w:p w:rsidR="00DC25D4" w:rsidRPr="00195802" w:rsidRDefault="00DC25D4" w:rsidP="00DC25D4">
      <w:pPr>
        <w:pStyle w:val="af"/>
        <w:jc w:val="right"/>
        <w:rPr>
          <w:sz w:val="24"/>
          <w:rtl/>
        </w:rPr>
      </w:pPr>
      <w:r w:rsidRPr="00195802">
        <w:rPr>
          <w:rFonts w:hint="cs"/>
          <w:sz w:val="24"/>
          <w:rtl/>
        </w:rPr>
        <w:t xml:space="preserve">חבר הכנסת דוד </w:t>
      </w:r>
      <w:proofErr w:type="spellStart"/>
      <w:r w:rsidRPr="00195802">
        <w:rPr>
          <w:rFonts w:hint="cs"/>
          <w:sz w:val="24"/>
          <w:rtl/>
        </w:rPr>
        <w:t>אמסלם</w:t>
      </w:r>
      <w:proofErr w:type="spellEnd"/>
      <w:r w:rsidRPr="00195802">
        <w:rPr>
          <w:rFonts w:hint="cs"/>
          <w:sz w:val="24"/>
          <w:rtl/>
        </w:rPr>
        <w:t>,</w:t>
      </w:r>
    </w:p>
    <w:p w:rsidR="00973CCE" w:rsidRPr="00D04F4B" w:rsidRDefault="00DC25D4" w:rsidP="00724C54">
      <w:pPr>
        <w:pStyle w:val="af"/>
        <w:jc w:val="right"/>
        <w:rPr>
          <w:rFonts w:ascii="Times New Roman" w:eastAsia="MS Mincho" w:hAnsi="Times New Roman"/>
          <w:sz w:val="24"/>
          <w:rtl/>
        </w:rPr>
      </w:pPr>
      <w:r w:rsidRPr="00195802">
        <w:rPr>
          <w:rFonts w:hint="cs"/>
          <w:sz w:val="24"/>
          <w:rtl/>
        </w:rPr>
        <w:t>יושב ראש הוועדה המיוחדת</w:t>
      </w:r>
    </w:p>
    <w:p w:rsidR="00973CCE" w:rsidRDefault="00973CCE" w:rsidP="00973CCE">
      <w:pPr>
        <w:rPr>
          <w:sz w:val="24"/>
          <w:rtl/>
        </w:rPr>
      </w:pPr>
    </w:p>
    <w:p w:rsidR="00973CCE" w:rsidRDefault="00973CCE" w:rsidP="00C0669D">
      <w:pPr>
        <w:rPr>
          <w:sz w:val="24"/>
          <w:rtl/>
        </w:rPr>
      </w:pPr>
    </w:p>
    <w:p w:rsidR="00220013" w:rsidRDefault="00220013"/>
    <w:sectPr w:rsidR="00220013" w:rsidSect="008F46D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E3B" w:rsidRDefault="00DA1E3B" w:rsidP="00C0669D">
      <w:pPr>
        <w:spacing w:line="240" w:lineRule="auto"/>
      </w:pPr>
      <w:r>
        <w:separator/>
      </w:r>
    </w:p>
  </w:endnote>
  <w:endnote w:type="continuationSeparator" w:id="0">
    <w:p w:rsidR="00DA1E3B" w:rsidRDefault="00DA1E3B" w:rsidP="00C066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FrankRuehl">
    <w:altName w:val="David"/>
    <w:panose1 w:val="00000000000000000000"/>
    <w:charset w:val="B1"/>
    <w:family w:val="swiss"/>
    <w:notTrueType/>
    <w:pitch w:val="variable"/>
    <w:sig w:usb0="00000800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1235394332"/>
      <w:docPartObj>
        <w:docPartGallery w:val="Page Numbers (Bottom of Page)"/>
        <w:docPartUnique/>
      </w:docPartObj>
    </w:sdtPr>
    <w:sdtEndPr>
      <w:rPr>
        <w:sz w:val="20"/>
        <w:szCs w:val="20"/>
        <w:cs/>
      </w:rPr>
    </w:sdtEndPr>
    <w:sdtContent>
      <w:p w:rsidR="008A6374" w:rsidRDefault="009A7C3F" w:rsidP="008A6374">
        <w:pPr>
          <w:pStyle w:val="a7"/>
          <w:rPr>
            <w:rtl/>
          </w:rPr>
        </w:pPr>
        <w:r>
          <w:rPr>
            <w:rFonts w:hint="cs"/>
            <w:rtl/>
          </w:rPr>
          <w:t>________________________________________________________________________</w:t>
        </w: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CA43A4" w:rsidRPr="00CA43A4">
          <w:rPr>
            <w:noProof/>
            <w:rtl/>
            <w:lang w:val="he-IL"/>
          </w:rPr>
          <w:t>1</w:t>
        </w:r>
        <w:r>
          <w:fldChar w:fldCharType="end"/>
        </w:r>
      </w:p>
      <w:p w:rsidR="008A6374" w:rsidRPr="008C331B" w:rsidRDefault="00F61BAE" w:rsidP="008C331B">
        <w:pPr>
          <w:pStyle w:val="a7"/>
          <w:jc w:val="center"/>
          <w:rPr>
            <w:sz w:val="20"/>
            <w:szCs w:val="20"/>
          </w:rPr>
        </w:pPr>
        <w:r>
          <w:rPr>
            <w:rFonts w:hint="cs"/>
            <w:sz w:val="20"/>
            <w:szCs w:val="20"/>
            <w:rtl/>
          </w:rPr>
          <w:t>ה</w:t>
        </w:r>
        <w:r w:rsidR="008C331B" w:rsidRPr="008C331B">
          <w:rPr>
            <w:rFonts w:hint="cs"/>
            <w:sz w:val="20"/>
            <w:szCs w:val="20"/>
            <w:rtl/>
          </w:rPr>
          <w:t>וועדה המיוחדת להסדרת מעמדם של תלמידי ישיבות, ושילובם של בוגרי ישיבות בשירות צבאי, בשירות לאומי-אזרחי ובתעסוקה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E3B" w:rsidRDefault="00DA1E3B" w:rsidP="00C0669D">
      <w:pPr>
        <w:spacing w:line="240" w:lineRule="auto"/>
      </w:pPr>
      <w:r>
        <w:separator/>
      </w:r>
    </w:p>
  </w:footnote>
  <w:footnote w:type="continuationSeparator" w:id="0">
    <w:p w:rsidR="00DA1E3B" w:rsidRDefault="00DA1E3B" w:rsidP="00C066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25D4" w:rsidRDefault="00DC25D4" w:rsidP="00DC25D4">
    <w:pPr>
      <w:pStyle w:val="a5"/>
      <w:jc w:val="center"/>
    </w:pPr>
    <w:r w:rsidRPr="002E7252">
      <w:rPr>
        <w:rFonts w:asciiTheme="majorBidi" w:eastAsia="Calibri" w:hAnsiTheme="majorBidi"/>
        <w:noProof/>
        <w:color w:val="000080"/>
        <w:sz w:val="28"/>
        <w:szCs w:val="28"/>
      </w:rPr>
      <w:drawing>
        <wp:inline distT="0" distB="0" distL="0" distR="0" wp14:anchorId="6CAF6580" wp14:editId="1FD5E3C0">
          <wp:extent cx="476250" cy="590550"/>
          <wp:effectExtent l="0" t="0" r="0" b="0"/>
          <wp:docPr id="7" name="תמונה 1" title="סמל המדינה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 descr="SEME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1139E"/>
    <w:multiLevelType w:val="hybridMultilevel"/>
    <w:tmpl w:val="A2D2F0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5F65C1"/>
    <w:multiLevelType w:val="hybridMultilevel"/>
    <w:tmpl w:val="9B686032"/>
    <w:lvl w:ilvl="0" w:tplc="DB2475F8">
      <w:start w:val="1"/>
      <w:numFmt w:val="decimal"/>
      <w:lvlText w:val="(%1)"/>
      <w:lvlJc w:val="left"/>
      <w:pPr>
        <w:ind w:left="1440" w:hanging="360"/>
      </w:pPr>
      <w:rPr>
        <w:rFonts w:ascii="Calibri" w:eastAsiaTheme="minorHAnsi" w:hAnsi="Calibri" w:cs="David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EBB4E28"/>
    <w:multiLevelType w:val="hybridMultilevel"/>
    <w:tmpl w:val="3F74B8CC"/>
    <w:lvl w:ilvl="0" w:tplc="F918D0AC">
      <w:start w:val="1"/>
      <w:numFmt w:val="decimal"/>
      <w:lvlText w:val="%1."/>
      <w:lvlJc w:val="left"/>
      <w:pPr>
        <w:ind w:left="360" w:hanging="360"/>
      </w:pPr>
      <w:rPr>
        <w:rFonts w:ascii="Calibri" w:eastAsiaTheme="minorHAnsi" w:hAnsi="Calibri" w:cs="David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C182073"/>
    <w:multiLevelType w:val="hybridMultilevel"/>
    <w:tmpl w:val="FAD2D82E"/>
    <w:lvl w:ilvl="0" w:tplc="7B34023C">
      <w:start w:val="1"/>
      <w:numFmt w:val="hebrew1"/>
      <w:lvlText w:val="(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9C7E77"/>
    <w:multiLevelType w:val="hybridMultilevel"/>
    <w:tmpl w:val="F086EF7C"/>
    <w:lvl w:ilvl="0" w:tplc="F882433E">
      <w:start w:val="1"/>
      <w:numFmt w:val="hebrew1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69D"/>
    <w:rsid w:val="0004407F"/>
    <w:rsid w:val="00077183"/>
    <w:rsid w:val="000C43F3"/>
    <w:rsid w:val="001334C5"/>
    <w:rsid w:val="001409B3"/>
    <w:rsid w:val="00143976"/>
    <w:rsid w:val="00163E04"/>
    <w:rsid w:val="00195802"/>
    <w:rsid w:val="001B5648"/>
    <w:rsid w:val="001C13C8"/>
    <w:rsid w:val="00200606"/>
    <w:rsid w:val="00217A90"/>
    <w:rsid w:val="00220013"/>
    <w:rsid w:val="00230389"/>
    <w:rsid w:val="00240C96"/>
    <w:rsid w:val="00242F94"/>
    <w:rsid w:val="00250B1A"/>
    <w:rsid w:val="0027671F"/>
    <w:rsid w:val="002878EF"/>
    <w:rsid w:val="002A5961"/>
    <w:rsid w:val="002A72E5"/>
    <w:rsid w:val="002A764D"/>
    <w:rsid w:val="00302715"/>
    <w:rsid w:val="0033792E"/>
    <w:rsid w:val="003A38B7"/>
    <w:rsid w:val="003B266F"/>
    <w:rsid w:val="003C09F7"/>
    <w:rsid w:val="003D6689"/>
    <w:rsid w:val="00416FCE"/>
    <w:rsid w:val="00456294"/>
    <w:rsid w:val="004835F2"/>
    <w:rsid w:val="004A6A47"/>
    <w:rsid w:val="004A7F3B"/>
    <w:rsid w:val="00536080"/>
    <w:rsid w:val="00562544"/>
    <w:rsid w:val="005675D1"/>
    <w:rsid w:val="005B0F78"/>
    <w:rsid w:val="005F7887"/>
    <w:rsid w:val="006057FA"/>
    <w:rsid w:val="006408ED"/>
    <w:rsid w:val="0067269B"/>
    <w:rsid w:val="006846A3"/>
    <w:rsid w:val="006C44D1"/>
    <w:rsid w:val="006C5244"/>
    <w:rsid w:val="00710404"/>
    <w:rsid w:val="007112A8"/>
    <w:rsid w:val="00722642"/>
    <w:rsid w:val="00724C54"/>
    <w:rsid w:val="00727FFA"/>
    <w:rsid w:val="0077168E"/>
    <w:rsid w:val="00784D4A"/>
    <w:rsid w:val="007E00DF"/>
    <w:rsid w:val="007E1488"/>
    <w:rsid w:val="00810119"/>
    <w:rsid w:val="00843DC6"/>
    <w:rsid w:val="008A3EAA"/>
    <w:rsid w:val="008A7C20"/>
    <w:rsid w:val="008C1F91"/>
    <w:rsid w:val="008C331B"/>
    <w:rsid w:val="008C34B8"/>
    <w:rsid w:val="008E40E4"/>
    <w:rsid w:val="00931080"/>
    <w:rsid w:val="00954ABE"/>
    <w:rsid w:val="009568D7"/>
    <w:rsid w:val="00973CCE"/>
    <w:rsid w:val="009A7C3F"/>
    <w:rsid w:val="009B3DFC"/>
    <w:rsid w:val="009D202D"/>
    <w:rsid w:val="009E2BBD"/>
    <w:rsid w:val="00A03B4B"/>
    <w:rsid w:val="00A364BC"/>
    <w:rsid w:val="00AE33D7"/>
    <w:rsid w:val="00AF0D7F"/>
    <w:rsid w:val="00AF64C6"/>
    <w:rsid w:val="00B851E7"/>
    <w:rsid w:val="00B96EC7"/>
    <w:rsid w:val="00BE05DD"/>
    <w:rsid w:val="00C0669D"/>
    <w:rsid w:val="00C06903"/>
    <w:rsid w:val="00C45EC2"/>
    <w:rsid w:val="00CA43A4"/>
    <w:rsid w:val="00CB478C"/>
    <w:rsid w:val="00DA1E3B"/>
    <w:rsid w:val="00DC25D4"/>
    <w:rsid w:val="00DF258B"/>
    <w:rsid w:val="00EA56F7"/>
    <w:rsid w:val="00F61BAE"/>
    <w:rsid w:val="00FE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E00800-3E4C-47EE-8C9C-086C9A7EA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5D1"/>
    <w:pPr>
      <w:bidi/>
      <w:spacing w:after="0" w:line="360" w:lineRule="auto"/>
      <w:contextualSpacing/>
      <w:jc w:val="both"/>
    </w:pPr>
    <w:rPr>
      <w:rFonts w:cs="David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57FA"/>
    <w:pPr>
      <w:keepNext/>
      <w:keepLines/>
      <w:outlineLvl w:val="0"/>
    </w:pPr>
    <w:rPr>
      <w:rFonts w:asciiTheme="majorHAnsi" w:eastAsiaTheme="majorEastAsia" w:hAnsiTheme="majorHAnsi"/>
      <w:bCs/>
      <w:sz w:val="32"/>
      <w:szCs w:val="36"/>
      <w:u w:val="single"/>
    </w:rPr>
  </w:style>
  <w:style w:type="paragraph" w:styleId="2">
    <w:name w:val="heading 2"/>
    <w:basedOn w:val="a"/>
    <w:next w:val="a"/>
    <w:link w:val="20"/>
    <w:uiPriority w:val="9"/>
    <w:unhideWhenUsed/>
    <w:qFormat/>
    <w:rsid w:val="006057FA"/>
    <w:pPr>
      <w:keepNext/>
      <w:keepLines/>
      <w:outlineLvl w:val="1"/>
    </w:pPr>
    <w:rPr>
      <w:rFonts w:asciiTheme="majorHAnsi" w:eastAsiaTheme="majorEastAsia" w:hAnsiTheme="majorHAnsi"/>
      <w:bCs/>
      <w:sz w:val="26"/>
      <w:szCs w:val="32"/>
      <w:u w:val="single"/>
    </w:rPr>
  </w:style>
  <w:style w:type="paragraph" w:styleId="3">
    <w:name w:val="heading 3"/>
    <w:basedOn w:val="a"/>
    <w:next w:val="a"/>
    <w:link w:val="30"/>
    <w:uiPriority w:val="9"/>
    <w:unhideWhenUsed/>
    <w:qFormat/>
    <w:rsid w:val="00C0669D"/>
    <w:pPr>
      <w:keepNext/>
      <w:keepLines/>
      <w:outlineLvl w:val="2"/>
    </w:pPr>
    <w:rPr>
      <w:rFonts w:asciiTheme="majorHAnsi" w:eastAsiaTheme="majorEastAsia" w:hAnsiTheme="majorHAnsi"/>
      <w:bCs/>
      <w:sz w:val="24"/>
      <w:szCs w:val="28"/>
      <w:u w:val="single"/>
    </w:rPr>
  </w:style>
  <w:style w:type="paragraph" w:styleId="4">
    <w:name w:val="heading 4"/>
    <w:basedOn w:val="a"/>
    <w:next w:val="a"/>
    <w:link w:val="40"/>
    <w:uiPriority w:val="9"/>
    <w:unhideWhenUsed/>
    <w:qFormat/>
    <w:rsid w:val="006057FA"/>
    <w:pPr>
      <w:keepNext/>
      <w:keepLines/>
      <w:outlineLvl w:val="3"/>
    </w:pPr>
    <w:rPr>
      <w:rFonts w:asciiTheme="majorHAnsi" w:eastAsiaTheme="majorEastAsia" w:hAnsiTheme="majorHAnsi"/>
      <w:bCs/>
      <w:i/>
      <w:szCs w:val="26"/>
      <w:u w:val="single"/>
    </w:rPr>
  </w:style>
  <w:style w:type="paragraph" w:styleId="5">
    <w:name w:val="heading 5"/>
    <w:basedOn w:val="a"/>
    <w:next w:val="a"/>
    <w:link w:val="50"/>
    <w:uiPriority w:val="9"/>
    <w:unhideWhenUsed/>
    <w:qFormat/>
    <w:rsid w:val="006057FA"/>
    <w:pPr>
      <w:keepNext/>
      <w:keepLines/>
      <w:outlineLvl w:val="4"/>
    </w:pPr>
    <w:rPr>
      <w:rFonts w:asciiTheme="majorHAnsi" w:eastAsiaTheme="majorEastAsia" w:hAnsiTheme="majorHAnsi"/>
      <w:bCs/>
      <w:u w:val="single"/>
    </w:rPr>
  </w:style>
  <w:style w:type="paragraph" w:styleId="6">
    <w:name w:val="heading 6"/>
    <w:basedOn w:val="a"/>
    <w:next w:val="a"/>
    <w:link w:val="60"/>
    <w:uiPriority w:val="9"/>
    <w:unhideWhenUsed/>
    <w:qFormat/>
    <w:rsid w:val="00C0669D"/>
    <w:pPr>
      <w:keepNext/>
      <w:keepLines/>
      <w:outlineLvl w:val="5"/>
    </w:pPr>
    <w:rPr>
      <w:rFonts w:asciiTheme="majorHAnsi" w:eastAsiaTheme="majorEastAsia" w:hAnsiTheme="majorHAnsi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6057FA"/>
    <w:rPr>
      <w:rFonts w:asciiTheme="majorHAnsi" w:eastAsiaTheme="majorEastAsia" w:hAnsiTheme="majorHAnsi" w:cs="David"/>
      <w:bCs/>
      <w:sz w:val="32"/>
      <w:szCs w:val="36"/>
      <w:u w:val="single"/>
    </w:rPr>
  </w:style>
  <w:style w:type="character" w:customStyle="1" w:styleId="20">
    <w:name w:val="כותרת 2 תו"/>
    <w:basedOn w:val="a0"/>
    <w:link w:val="2"/>
    <w:uiPriority w:val="9"/>
    <w:rsid w:val="006057FA"/>
    <w:rPr>
      <w:rFonts w:asciiTheme="majorHAnsi" w:eastAsiaTheme="majorEastAsia" w:hAnsiTheme="majorHAnsi" w:cs="David"/>
      <w:bCs/>
      <w:sz w:val="26"/>
      <w:szCs w:val="32"/>
      <w:u w:val="single"/>
    </w:rPr>
  </w:style>
  <w:style w:type="character" w:customStyle="1" w:styleId="30">
    <w:name w:val="כותרת 3 תו"/>
    <w:basedOn w:val="a0"/>
    <w:link w:val="3"/>
    <w:uiPriority w:val="9"/>
    <w:rsid w:val="00C0669D"/>
    <w:rPr>
      <w:rFonts w:asciiTheme="majorHAnsi" w:eastAsiaTheme="majorEastAsia" w:hAnsiTheme="majorHAnsi" w:cs="David"/>
      <w:bCs/>
      <w:sz w:val="24"/>
      <w:szCs w:val="28"/>
      <w:u w:val="single"/>
    </w:rPr>
  </w:style>
  <w:style w:type="character" w:customStyle="1" w:styleId="40">
    <w:name w:val="כותרת 4 תו"/>
    <w:basedOn w:val="a0"/>
    <w:link w:val="4"/>
    <w:uiPriority w:val="9"/>
    <w:rsid w:val="006057FA"/>
    <w:rPr>
      <w:rFonts w:asciiTheme="majorHAnsi" w:eastAsiaTheme="majorEastAsia" w:hAnsiTheme="majorHAnsi" w:cs="David"/>
      <w:bCs/>
      <w:i/>
      <w:szCs w:val="26"/>
      <w:u w:val="single"/>
    </w:rPr>
  </w:style>
  <w:style w:type="character" w:customStyle="1" w:styleId="50">
    <w:name w:val="כותרת 5 תו"/>
    <w:basedOn w:val="a0"/>
    <w:link w:val="5"/>
    <w:uiPriority w:val="9"/>
    <w:rsid w:val="006057FA"/>
    <w:rPr>
      <w:rFonts w:asciiTheme="majorHAnsi" w:eastAsiaTheme="majorEastAsia" w:hAnsiTheme="majorHAnsi" w:cs="David"/>
      <w:bCs/>
      <w:szCs w:val="24"/>
      <w:u w:val="single"/>
    </w:rPr>
  </w:style>
  <w:style w:type="paragraph" w:customStyle="1" w:styleId="takzir">
    <w:name w:val="takzir"/>
    <w:basedOn w:val="a"/>
    <w:rsid w:val="006057FA"/>
    <w:pPr>
      <w:spacing w:after="120" w:line="240" w:lineRule="exact"/>
    </w:pPr>
    <w:rPr>
      <w:rFonts w:ascii="Times New Roman" w:eastAsia="Times New Roman" w:hAnsi="Times New Roman"/>
      <w:b/>
      <w:bCs/>
      <w:noProof/>
      <w:lang w:eastAsia="he-IL"/>
    </w:rPr>
  </w:style>
  <w:style w:type="paragraph" w:customStyle="1" w:styleId="RESHET">
    <w:name w:val="RESHET"/>
    <w:basedOn w:val="a"/>
    <w:rsid w:val="006057FA"/>
    <w:pPr>
      <w:pBdr>
        <w:top w:val="single" w:sz="4" w:space="4" w:color="FFFFFF"/>
        <w:left w:val="single" w:sz="4" w:space="11" w:color="FFFFFF"/>
        <w:bottom w:val="single" w:sz="4" w:space="6" w:color="FFFFFF"/>
        <w:right w:val="single" w:sz="4" w:space="11" w:color="FFFFFF"/>
      </w:pBdr>
      <w:shd w:val="pct25" w:color="00FF00" w:fill="auto"/>
      <w:spacing w:after="120" w:line="230" w:lineRule="exact"/>
      <w:ind w:left="227" w:right="227"/>
    </w:pPr>
    <w:rPr>
      <w:rFonts w:ascii="Times New Roman" w:eastAsia="Times New Roman" w:hAnsi="Times New Roman" w:cs="FrankRuehl"/>
      <w:b/>
      <w:bCs/>
      <w:sz w:val="24"/>
      <w:lang w:eastAsia="he-IL"/>
    </w:rPr>
  </w:style>
  <w:style w:type="paragraph" w:customStyle="1" w:styleId="KOT5">
    <w:name w:val="KOT5"/>
    <w:basedOn w:val="a"/>
    <w:rsid w:val="006057FA"/>
    <w:pPr>
      <w:keepNext/>
      <w:spacing w:after="120" w:line="260" w:lineRule="exact"/>
    </w:pPr>
    <w:rPr>
      <w:rFonts w:ascii="Times New Roman" w:eastAsia="Times New Roman" w:hAnsi="Times New Roman"/>
      <w:b/>
      <w:bCs/>
    </w:rPr>
  </w:style>
  <w:style w:type="paragraph" w:styleId="a3">
    <w:name w:val="footnote text"/>
    <w:basedOn w:val="a"/>
    <w:link w:val="a4"/>
    <w:uiPriority w:val="99"/>
    <w:semiHidden/>
    <w:rsid w:val="006057FA"/>
    <w:pPr>
      <w:widowControl w:val="0"/>
      <w:spacing w:line="312" w:lineRule="auto"/>
      <w:ind w:left="567" w:hanging="567"/>
    </w:pPr>
    <w:rPr>
      <w:rFonts w:ascii="Times New Roman" w:eastAsia="Times New Roman" w:hAnsi="Times New Roman"/>
      <w:sz w:val="20"/>
      <w:szCs w:val="20"/>
      <w:lang w:eastAsia="he-IL"/>
    </w:rPr>
  </w:style>
  <w:style w:type="character" w:customStyle="1" w:styleId="a4">
    <w:name w:val="טקסט הערת שוליים תו"/>
    <w:basedOn w:val="a0"/>
    <w:link w:val="a3"/>
    <w:uiPriority w:val="99"/>
    <w:semiHidden/>
    <w:rsid w:val="006057FA"/>
    <w:rPr>
      <w:rFonts w:ascii="Times New Roman" w:eastAsia="Times New Roman" w:hAnsi="Times New Roman" w:cs="David"/>
      <w:sz w:val="20"/>
      <w:szCs w:val="20"/>
      <w:lang w:eastAsia="he-IL"/>
    </w:rPr>
  </w:style>
  <w:style w:type="paragraph" w:styleId="a5">
    <w:name w:val="header"/>
    <w:basedOn w:val="a"/>
    <w:link w:val="a6"/>
    <w:uiPriority w:val="99"/>
    <w:unhideWhenUsed/>
    <w:rsid w:val="006057FA"/>
    <w:pPr>
      <w:tabs>
        <w:tab w:val="center" w:pos="4513"/>
        <w:tab w:val="right" w:pos="9026"/>
      </w:tabs>
      <w:spacing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6057FA"/>
  </w:style>
  <w:style w:type="paragraph" w:styleId="a7">
    <w:name w:val="footer"/>
    <w:basedOn w:val="a"/>
    <w:link w:val="a8"/>
    <w:uiPriority w:val="99"/>
    <w:unhideWhenUsed/>
    <w:rsid w:val="006057FA"/>
    <w:pPr>
      <w:tabs>
        <w:tab w:val="center" w:pos="4513"/>
        <w:tab w:val="right" w:pos="9026"/>
      </w:tabs>
      <w:spacing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6057FA"/>
  </w:style>
  <w:style w:type="character" w:styleId="a9">
    <w:name w:val="footnote reference"/>
    <w:aliases w:val="Footnote Reference"/>
    <w:uiPriority w:val="99"/>
    <w:semiHidden/>
    <w:rsid w:val="006057FA"/>
    <w:rPr>
      <w:vertAlign w:val="superscript"/>
    </w:rPr>
  </w:style>
  <w:style w:type="paragraph" w:styleId="aa">
    <w:name w:val="Plain Text"/>
    <w:basedOn w:val="a"/>
    <w:link w:val="ab"/>
    <w:semiHidden/>
    <w:rsid w:val="006057FA"/>
    <w:pPr>
      <w:widowControl w:val="0"/>
      <w:spacing w:line="312" w:lineRule="auto"/>
    </w:pPr>
    <w:rPr>
      <w:rFonts w:ascii="Courier New" w:eastAsia="Times New Roman" w:hAnsi="Courier New" w:cs="Courier New"/>
      <w:sz w:val="20"/>
      <w:szCs w:val="20"/>
      <w:lang w:eastAsia="he-IL"/>
    </w:rPr>
  </w:style>
  <w:style w:type="character" w:customStyle="1" w:styleId="ab">
    <w:name w:val="טקסט רגיל תו"/>
    <w:basedOn w:val="a0"/>
    <w:link w:val="aa"/>
    <w:semiHidden/>
    <w:rsid w:val="006057FA"/>
    <w:rPr>
      <w:rFonts w:ascii="Courier New" w:eastAsia="Times New Roman" w:hAnsi="Courier New" w:cs="Courier New"/>
      <w:sz w:val="20"/>
      <w:szCs w:val="20"/>
      <w:lang w:eastAsia="he-IL"/>
    </w:rPr>
  </w:style>
  <w:style w:type="paragraph" w:styleId="ac">
    <w:name w:val="Balloon Text"/>
    <w:basedOn w:val="a"/>
    <w:link w:val="ad"/>
    <w:uiPriority w:val="99"/>
    <w:semiHidden/>
    <w:unhideWhenUsed/>
    <w:rsid w:val="006057FA"/>
    <w:pPr>
      <w:spacing w:line="240" w:lineRule="auto"/>
    </w:pPr>
    <w:rPr>
      <w:rFonts w:ascii="Tahoma" w:hAnsi="Tahoma" w:cs="Tahoma"/>
      <w:sz w:val="18"/>
      <w:szCs w:val="18"/>
    </w:rPr>
  </w:style>
  <w:style w:type="character" w:customStyle="1" w:styleId="ad">
    <w:name w:val="טקסט בלונים תו"/>
    <w:basedOn w:val="a0"/>
    <w:link w:val="ac"/>
    <w:uiPriority w:val="99"/>
    <w:semiHidden/>
    <w:rsid w:val="006057FA"/>
    <w:rPr>
      <w:rFonts w:ascii="Tahoma" w:hAnsi="Tahoma" w:cs="Tahoma"/>
      <w:sz w:val="18"/>
      <w:szCs w:val="18"/>
    </w:rPr>
  </w:style>
  <w:style w:type="table" w:styleId="ae">
    <w:name w:val="Table Grid"/>
    <w:basedOn w:val="a1"/>
    <w:uiPriority w:val="39"/>
    <w:rsid w:val="00605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6057FA"/>
    <w:pPr>
      <w:ind w:left="720"/>
    </w:pPr>
  </w:style>
  <w:style w:type="paragraph" w:customStyle="1" w:styleId="af0">
    <w:name w:val="לוגו צוות משפטי"/>
    <w:basedOn w:val="a"/>
    <w:link w:val="af1"/>
    <w:qFormat/>
    <w:rsid w:val="00784D4A"/>
    <w:pPr>
      <w:spacing w:line="240" w:lineRule="auto"/>
    </w:pPr>
    <w:rPr>
      <w:rFonts w:asciiTheme="majorBidi" w:eastAsia="Times New Roman" w:hAnsiTheme="majorBidi"/>
      <w:b/>
      <w:bCs/>
      <w:color w:val="000080"/>
      <w:sz w:val="24"/>
      <w:lang w:eastAsia="he-IL"/>
    </w:rPr>
  </w:style>
  <w:style w:type="character" w:customStyle="1" w:styleId="af1">
    <w:name w:val="לוגו צוות משפטי תו"/>
    <w:basedOn w:val="a0"/>
    <w:link w:val="af0"/>
    <w:rsid w:val="00784D4A"/>
    <w:rPr>
      <w:rFonts w:asciiTheme="majorBidi" w:eastAsia="Times New Roman" w:hAnsiTheme="majorBidi" w:cs="David"/>
      <w:b/>
      <w:bCs/>
      <w:color w:val="000080"/>
      <w:sz w:val="24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rsid w:val="00C0669D"/>
    <w:rPr>
      <w:rFonts w:asciiTheme="majorHAnsi" w:eastAsiaTheme="majorEastAsia" w:hAnsiTheme="majorHAnsi" w:cs="David"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הדר בר שלום</dc:creator>
  <cp:keywords/>
  <dc:description/>
  <cp:lastModifiedBy>עוז מלכה</cp:lastModifiedBy>
  <cp:revision>2</cp:revision>
  <cp:lastPrinted>2018-07-11T08:03:00Z</cp:lastPrinted>
  <dcterms:created xsi:type="dcterms:W3CDTF">2018-07-11T08:18:00Z</dcterms:created>
  <dcterms:modified xsi:type="dcterms:W3CDTF">2018-07-11T08:18:00Z</dcterms:modified>
</cp:coreProperties>
</file>