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C0549E" w:rsidRPr="009A73A8" w:rsidRDefault="00C0549E" w:rsidP="00C0549E">
      <w:pPr>
        <w:tabs>
          <w:tab w:val="left" w:pos="800"/>
        </w:tabs>
        <w:jc w:val="center"/>
        <w:rPr>
          <w:rFonts w:ascii="Arial TUR" w:hAnsi="Arial TUR" w:cs="David"/>
          <w:b/>
          <w:bCs/>
          <w:color w:val="000080"/>
          <w:sz w:val="28"/>
          <w:szCs w:val="32"/>
          <w:rtl/>
        </w:rPr>
      </w:pPr>
      <w:r w:rsidRPr="009A73A8">
        <w:rPr>
          <w:rFonts w:ascii="Arial TUR" w:hAnsi="Arial TUR" w:cs="David"/>
          <w:b/>
          <w:bCs/>
          <w:color w:val="000080"/>
          <w:spacing w:val="6"/>
          <w:sz w:val="28"/>
          <w:szCs w:val="32"/>
          <w:rtl/>
        </w:rPr>
        <w:t>בית המשפט העליון</w:t>
      </w:r>
      <w:r w:rsidRPr="009A73A8">
        <w:rPr>
          <w:rFonts w:ascii="Arial TUR" w:hAnsi="Arial TUR" w:cs="David" w:hint="cs"/>
          <w:b/>
          <w:bCs/>
          <w:color w:val="000080"/>
          <w:sz w:val="28"/>
          <w:szCs w:val="32"/>
          <w:rtl/>
        </w:rPr>
        <w:t xml:space="preserve"> </w:t>
      </w:r>
    </w:p>
    <w:p w:rsidR="004E6A4C" w:rsidRPr="009A73A8" w:rsidRDefault="00C0549E" w:rsidP="00285C4A">
      <w:pPr>
        <w:tabs>
          <w:tab w:val="left" w:pos="800"/>
        </w:tabs>
        <w:jc w:val="center"/>
        <w:rPr>
          <w:rFonts w:ascii="Arial TUR" w:hAnsi="Arial TUR" w:cs="David"/>
          <w:b/>
          <w:bCs/>
          <w:color w:val="000080"/>
          <w:sz w:val="28"/>
          <w:szCs w:val="32"/>
          <w:u w:val="single"/>
          <w:rtl/>
        </w:rPr>
      </w:pPr>
      <w:r w:rsidRPr="009A73A8">
        <w:rPr>
          <w:rFonts w:ascii="Arial TUR" w:hAnsi="Arial TUR" w:cs="David" w:hint="cs"/>
          <w:b/>
          <w:bCs/>
          <w:color w:val="000080"/>
          <w:sz w:val="28"/>
          <w:szCs w:val="32"/>
          <w:u w:val="single"/>
          <w:rtl/>
        </w:rPr>
        <w:t xml:space="preserve">הודעה לתקשורת </w:t>
      </w:r>
      <w:r w:rsidRPr="009A73A8">
        <w:rPr>
          <w:rFonts w:ascii="Arial TUR" w:hAnsi="Arial TUR" w:cs="David"/>
          <w:b/>
          <w:bCs/>
          <w:color w:val="000080"/>
          <w:sz w:val="28"/>
          <w:szCs w:val="32"/>
          <w:u w:val="single"/>
          <w:rtl/>
        </w:rPr>
        <w:t>–</w:t>
      </w:r>
      <w:r w:rsidR="00892FEB" w:rsidRPr="009A73A8">
        <w:rPr>
          <w:rFonts w:ascii="Arial TUR" w:hAnsi="Arial TUR" w:cs="David" w:hint="cs"/>
          <w:b/>
          <w:bCs/>
          <w:color w:val="000080"/>
          <w:sz w:val="28"/>
          <w:szCs w:val="32"/>
          <w:u w:val="single"/>
          <w:rtl/>
        </w:rPr>
        <w:t xml:space="preserve"> </w:t>
      </w:r>
      <w:r w:rsidR="008B4F4F" w:rsidRPr="009A73A8">
        <w:rPr>
          <w:rFonts w:ascii="Arial TUR" w:hAnsi="Arial TUR" w:cs="David" w:hint="cs"/>
          <w:b/>
          <w:bCs/>
          <w:color w:val="000080"/>
          <w:sz w:val="28"/>
          <w:szCs w:val="32"/>
          <w:u w:val="single"/>
          <w:rtl/>
        </w:rPr>
        <w:t xml:space="preserve">תמצית נימוקי </w:t>
      </w:r>
      <w:r w:rsidR="00892FEB" w:rsidRPr="009A73A8">
        <w:rPr>
          <w:rFonts w:ascii="Arial TUR" w:hAnsi="Arial TUR" w:cs="David" w:hint="cs"/>
          <w:b/>
          <w:bCs/>
          <w:color w:val="000080"/>
          <w:sz w:val="28"/>
          <w:szCs w:val="32"/>
          <w:u w:val="single"/>
          <w:rtl/>
        </w:rPr>
        <w:t xml:space="preserve">פסק </w:t>
      </w:r>
      <w:r w:rsidRPr="009A73A8">
        <w:rPr>
          <w:rFonts w:ascii="Arial TUR" w:hAnsi="Arial TUR" w:cs="David" w:hint="cs"/>
          <w:b/>
          <w:bCs/>
          <w:color w:val="000080"/>
          <w:sz w:val="28"/>
          <w:szCs w:val="32"/>
          <w:u w:val="single"/>
          <w:rtl/>
        </w:rPr>
        <w:t xml:space="preserve">דין </w:t>
      </w:r>
    </w:p>
    <w:p w:rsidR="008B4F4F" w:rsidRPr="009A73A8" w:rsidRDefault="00FB43A2" w:rsidP="008B4F4F">
      <w:pPr>
        <w:tabs>
          <w:tab w:val="left" w:pos="800"/>
        </w:tabs>
        <w:jc w:val="center"/>
        <w:rPr>
          <w:rFonts w:ascii="Arial TUR" w:hAnsi="Arial TUR" w:cs="David"/>
          <w:b/>
          <w:bCs/>
          <w:color w:val="000080"/>
          <w:sz w:val="26"/>
          <w:szCs w:val="28"/>
          <w:u w:val="single"/>
          <w:rtl/>
        </w:rPr>
      </w:pPr>
      <w:r w:rsidRPr="009A73A8">
        <w:rPr>
          <w:rFonts w:ascii="Arial TUR" w:hAnsi="Arial TUR" w:cs="David" w:hint="cs"/>
          <w:b/>
          <w:bCs/>
          <w:color w:val="000080"/>
          <w:sz w:val="26"/>
          <w:szCs w:val="28"/>
          <w:u w:val="single"/>
          <w:rtl/>
        </w:rPr>
        <w:t>בשתי העתירות בנושא "חוק ההסדרה"</w:t>
      </w:r>
    </w:p>
    <w:p w:rsidR="00D5338B" w:rsidRPr="009A73A8" w:rsidRDefault="008B4F4F" w:rsidP="00FB43A2">
      <w:pPr>
        <w:tabs>
          <w:tab w:val="left" w:pos="800"/>
        </w:tabs>
        <w:jc w:val="center"/>
        <w:rPr>
          <w:rFonts w:ascii="Arial TUR" w:hAnsi="Arial TUR" w:cs="David"/>
          <w:b/>
          <w:bCs/>
          <w:color w:val="000080"/>
          <w:sz w:val="26"/>
          <w:szCs w:val="28"/>
          <w:u w:val="single"/>
          <w:rtl/>
        </w:rPr>
      </w:pPr>
      <w:r w:rsidRPr="009A73A8">
        <w:rPr>
          <w:rFonts w:ascii="Arial TUR" w:hAnsi="Arial TUR" w:cs="David" w:hint="cs"/>
          <w:b/>
          <w:bCs/>
          <w:color w:val="000080"/>
          <w:sz w:val="26"/>
          <w:szCs w:val="28"/>
          <w:u w:val="single"/>
          <w:rtl/>
        </w:rPr>
        <w:t xml:space="preserve">(בג"ץ </w:t>
      </w:r>
      <w:r w:rsidR="00FB43A2" w:rsidRPr="009A73A8">
        <w:rPr>
          <w:rFonts w:ascii="Arial TUR" w:hAnsi="Arial TUR" w:cs="David" w:hint="cs"/>
          <w:b/>
          <w:bCs/>
          <w:color w:val="000080"/>
          <w:sz w:val="26"/>
          <w:szCs w:val="28"/>
          <w:u w:val="single"/>
          <w:rtl/>
        </w:rPr>
        <w:t>1308/17; בג"ץ 2055/17)</w:t>
      </w:r>
    </w:p>
    <w:p w:rsidR="00D5338B" w:rsidRPr="009A73A8" w:rsidRDefault="00D5338B" w:rsidP="00285C4A">
      <w:pPr>
        <w:pStyle w:val="Ruller41"/>
        <w:spacing w:line="240" w:lineRule="auto"/>
        <w:rPr>
          <w:rFonts w:ascii="David" w:hAnsi="David" w:cs="David"/>
          <w:b/>
          <w:bCs/>
          <w:sz w:val="24"/>
          <w:szCs w:val="24"/>
          <w:u w:val="single"/>
          <w:rtl/>
        </w:rPr>
      </w:pPr>
    </w:p>
    <w:p w:rsidR="00285C4A" w:rsidRPr="009A73A8" w:rsidRDefault="00285C4A" w:rsidP="00FB43A2">
      <w:pPr>
        <w:pStyle w:val="Ruller41"/>
        <w:spacing w:line="240" w:lineRule="auto"/>
        <w:rPr>
          <w:rFonts w:ascii="David" w:hAnsi="David" w:cs="David"/>
          <w:sz w:val="24"/>
          <w:szCs w:val="24"/>
          <w:rtl/>
        </w:rPr>
      </w:pPr>
      <w:r w:rsidRPr="009A73A8">
        <w:rPr>
          <w:rFonts w:ascii="David" w:hAnsi="David" w:cs="David"/>
          <w:b/>
          <w:bCs/>
          <w:sz w:val="24"/>
          <w:szCs w:val="24"/>
          <w:u w:val="single"/>
          <w:rtl/>
        </w:rPr>
        <w:t>שופטי ההרכב</w:t>
      </w:r>
      <w:r w:rsidRPr="009A73A8">
        <w:rPr>
          <w:rFonts w:ascii="David" w:hAnsi="David" w:cs="David"/>
          <w:sz w:val="24"/>
          <w:szCs w:val="24"/>
          <w:rtl/>
        </w:rPr>
        <w:t xml:space="preserve">: </w:t>
      </w:r>
      <w:r w:rsidR="008B4F4F" w:rsidRPr="009A73A8">
        <w:rPr>
          <w:rFonts w:ascii="David" w:hAnsi="David" w:cs="David" w:hint="cs"/>
          <w:sz w:val="24"/>
          <w:szCs w:val="24"/>
          <w:rtl/>
        </w:rPr>
        <w:t>הנשיאה א' חיות; המשנה לנשיאה ח' מלצר; השופט נ' הנדל; השופט ע' פוגלמן; השופט י' עמית; השופט נ' סולברג; השופטת ד' ברק-ארז;</w:t>
      </w:r>
      <w:r w:rsidR="00FB43A2" w:rsidRPr="009A73A8">
        <w:rPr>
          <w:rFonts w:ascii="David" w:hAnsi="David" w:cs="David" w:hint="cs"/>
          <w:sz w:val="24"/>
          <w:szCs w:val="24"/>
          <w:rtl/>
        </w:rPr>
        <w:t xml:space="preserve"> השופט מ' מזוז; השופטת ע' ברון</w:t>
      </w:r>
    </w:p>
    <w:p w:rsidR="00285C4A" w:rsidRPr="009A73A8" w:rsidRDefault="00285C4A" w:rsidP="00285C4A">
      <w:pPr>
        <w:pStyle w:val="Ruller41"/>
        <w:rPr>
          <w:rFonts w:ascii="David" w:hAnsi="David" w:cs="David"/>
          <w:sz w:val="24"/>
          <w:szCs w:val="24"/>
          <w:rtl/>
        </w:rPr>
      </w:pPr>
    </w:p>
    <w:p w:rsidR="002E348B" w:rsidRPr="009A73A8" w:rsidRDefault="002E348B" w:rsidP="009D396B">
      <w:pPr>
        <w:overflowPunct w:val="0"/>
        <w:autoSpaceDE w:val="0"/>
        <w:autoSpaceDN w:val="0"/>
        <w:adjustRightInd w:val="0"/>
        <w:spacing w:after="0" w:line="240" w:lineRule="auto"/>
        <w:jc w:val="center"/>
        <w:rPr>
          <w:rFonts w:ascii="David" w:eastAsia="SimSun" w:hAnsi="David" w:cs="David"/>
          <w:b/>
          <w:bCs/>
          <w:spacing w:val="10"/>
          <w:sz w:val="28"/>
          <w:szCs w:val="28"/>
          <w:rtl/>
          <w:lang w:eastAsia="zh-CN"/>
        </w:rPr>
      </w:pPr>
      <w:r w:rsidRPr="009A73A8">
        <w:rPr>
          <w:rFonts w:ascii="David" w:eastAsia="SimSun" w:hAnsi="David" w:cs="David"/>
          <w:b/>
          <w:bCs/>
          <w:spacing w:val="10"/>
          <w:sz w:val="28"/>
          <w:szCs w:val="28"/>
          <w:rtl/>
          <w:lang w:eastAsia="zh-CN"/>
        </w:rPr>
        <w:t xml:space="preserve">בית המשפט העליון </w:t>
      </w:r>
      <w:r w:rsidRPr="009A73A8">
        <w:rPr>
          <w:rFonts w:ascii="David" w:eastAsia="SimSun" w:hAnsi="David" w:cs="David" w:hint="cs"/>
          <w:b/>
          <w:bCs/>
          <w:spacing w:val="10"/>
          <w:sz w:val="28"/>
          <w:szCs w:val="28"/>
          <w:rtl/>
          <w:lang w:eastAsia="zh-CN"/>
        </w:rPr>
        <w:t xml:space="preserve">קבע כי "חוק ההסדרה" אינו חוקתי והורה על בטלותו.  </w:t>
      </w:r>
    </w:p>
    <w:p w:rsidR="00FB43A2" w:rsidRPr="009A73A8" w:rsidRDefault="00FB43A2" w:rsidP="00FB43A2">
      <w:pPr>
        <w:pStyle w:val="Ruller41"/>
        <w:rPr>
          <w:rFonts w:ascii="David" w:hAnsi="David" w:cs="David"/>
          <w:sz w:val="24"/>
          <w:szCs w:val="24"/>
          <w:rtl/>
        </w:rPr>
      </w:pPr>
    </w:p>
    <w:p w:rsidR="00972CD6" w:rsidRPr="009A73A8" w:rsidRDefault="00FB43A2" w:rsidP="00972CD6">
      <w:pPr>
        <w:pStyle w:val="Ruller4"/>
        <w:numPr>
          <w:ilvl w:val="0"/>
          <w:numId w:val="0"/>
        </w:numPr>
        <w:tabs>
          <w:tab w:val="num" w:pos="10307"/>
        </w:tabs>
        <w:spacing w:line="360" w:lineRule="auto"/>
        <w:textAlignment w:val="baseline"/>
        <w:rPr>
          <w:rtl/>
        </w:rPr>
      </w:pPr>
      <w:r w:rsidRPr="009A73A8">
        <w:rPr>
          <w:rFonts w:hint="cs"/>
          <w:rtl/>
        </w:rPr>
        <w:t>החוק להסדרת ההתיישבו</w:t>
      </w:r>
      <w:r w:rsidR="002E348B" w:rsidRPr="009A73A8">
        <w:rPr>
          <w:rFonts w:hint="cs"/>
          <w:rtl/>
        </w:rPr>
        <w:t xml:space="preserve">ת ביהודה והשומרון, התשע"ז-2017 ("חוק ההסדרה") </w:t>
      </w:r>
      <w:r w:rsidR="00085285" w:rsidRPr="009A73A8">
        <w:rPr>
          <w:rFonts w:hint="cs"/>
          <w:rtl/>
        </w:rPr>
        <w:t>נועד</w:t>
      </w:r>
      <w:r w:rsidR="00453278" w:rsidRPr="009A73A8">
        <w:rPr>
          <w:rFonts w:hint="cs"/>
          <w:rtl/>
        </w:rPr>
        <w:t xml:space="preserve"> להסדיר </w:t>
      </w:r>
      <w:r w:rsidR="005746AE" w:rsidRPr="009A73A8">
        <w:rPr>
          <w:rFonts w:hint="cs"/>
          <w:rtl/>
        </w:rPr>
        <w:t>התיישבות</w:t>
      </w:r>
      <w:r w:rsidR="002E348B" w:rsidRPr="009A73A8">
        <w:rPr>
          <w:rFonts w:hint="cs"/>
          <w:rtl/>
        </w:rPr>
        <w:t xml:space="preserve"> </w:t>
      </w:r>
      <w:r w:rsidR="00453278" w:rsidRPr="009A73A8">
        <w:rPr>
          <w:rFonts w:hint="cs"/>
          <w:rtl/>
        </w:rPr>
        <w:t>שלא כדין על מקרקעין</w:t>
      </w:r>
      <w:r w:rsidR="009D396B" w:rsidRPr="009A73A8">
        <w:rPr>
          <w:rFonts w:hint="cs"/>
          <w:rtl/>
        </w:rPr>
        <w:t xml:space="preserve"> באזור יהודה ושומרון</w:t>
      </w:r>
      <w:r w:rsidR="00453278" w:rsidRPr="009A73A8">
        <w:rPr>
          <w:rFonts w:hint="cs"/>
          <w:rtl/>
        </w:rPr>
        <w:t>, ובכלל ז</w:t>
      </w:r>
      <w:r w:rsidR="009D396B" w:rsidRPr="009A73A8">
        <w:rPr>
          <w:rFonts w:hint="cs"/>
          <w:rtl/>
        </w:rPr>
        <w:t xml:space="preserve">ה </w:t>
      </w:r>
      <w:r w:rsidR="005746AE" w:rsidRPr="009A73A8">
        <w:rPr>
          <w:rFonts w:hint="cs"/>
          <w:rtl/>
        </w:rPr>
        <w:t xml:space="preserve">על </w:t>
      </w:r>
      <w:r w:rsidR="009D396B" w:rsidRPr="009A73A8">
        <w:rPr>
          <w:rFonts w:hint="cs"/>
          <w:rtl/>
        </w:rPr>
        <w:t>מקרקעין בבעלות פרטית פלסטינית</w:t>
      </w:r>
      <w:r w:rsidRPr="009A73A8">
        <w:rPr>
          <w:rFonts w:hint="cs"/>
          <w:rtl/>
        </w:rPr>
        <w:t xml:space="preserve">. </w:t>
      </w:r>
      <w:r w:rsidR="00C94880" w:rsidRPr="009A73A8">
        <w:rPr>
          <w:rFonts w:ascii="David" w:hAnsi="David"/>
          <w:spacing w:val="10"/>
          <w:rtl/>
        </w:rPr>
        <w:t xml:space="preserve">החוק קובע מנגנון </w:t>
      </w:r>
      <w:r w:rsidR="00CF5FC6" w:rsidRPr="009A73A8">
        <w:rPr>
          <w:rFonts w:ascii="David" w:hAnsi="David" w:hint="cs"/>
          <w:spacing w:val="10"/>
          <w:rtl/>
        </w:rPr>
        <w:t>להכשרה בדיעבד של</w:t>
      </w:r>
      <w:r w:rsidR="00C94880" w:rsidRPr="009A73A8">
        <w:rPr>
          <w:rFonts w:ascii="David" w:hAnsi="David"/>
          <w:spacing w:val="10"/>
          <w:rtl/>
        </w:rPr>
        <w:t xml:space="preserve"> התיישבות במקרקעין שהבנייה</w:t>
      </w:r>
      <w:r w:rsidR="00C94880" w:rsidRPr="009A73A8">
        <w:rPr>
          <w:rFonts w:ascii="David" w:hAnsi="David"/>
          <w:rtl/>
        </w:rPr>
        <w:t xml:space="preserve"> </w:t>
      </w:r>
      <w:r w:rsidR="00C94880" w:rsidRPr="009A73A8">
        <w:rPr>
          <w:rFonts w:hint="cs"/>
          <w:rtl/>
        </w:rPr>
        <w:t xml:space="preserve">בהם נעשתה על ידי מי שאינו </w:t>
      </w:r>
      <w:r w:rsidR="00C94880" w:rsidRPr="009A73A8">
        <w:rPr>
          <w:rFonts w:ascii="David" w:hAnsi="David"/>
          <w:b/>
          <w:sz w:val="22"/>
          <w:rtl/>
        </w:rPr>
        <w:t>בעל הזכות במקרקעין</w:t>
      </w:r>
      <w:r w:rsidR="00C94880" w:rsidRPr="009A73A8">
        <w:rPr>
          <w:rFonts w:ascii="David" w:hAnsi="David"/>
          <w:rtl/>
        </w:rPr>
        <w:t xml:space="preserve">, אך </w:t>
      </w:r>
      <w:r w:rsidR="00C94880" w:rsidRPr="009A73A8">
        <w:rPr>
          <w:rFonts w:ascii="David" w:hAnsi="David"/>
          <w:b/>
          <w:sz w:val="22"/>
          <w:rtl/>
        </w:rPr>
        <w:t>בתום לב</w:t>
      </w:r>
      <w:r w:rsidR="00C94880" w:rsidRPr="009A73A8">
        <w:rPr>
          <w:rFonts w:ascii="David" w:hAnsi="David"/>
          <w:rtl/>
        </w:rPr>
        <w:t xml:space="preserve"> או ב</w:t>
      </w:r>
      <w:r w:rsidR="00C94880" w:rsidRPr="009A73A8">
        <w:rPr>
          <w:rFonts w:ascii="David" w:hAnsi="David"/>
          <w:b/>
          <w:sz w:val="22"/>
          <w:rtl/>
        </w:rPr>
        <w:t>הסכמת המדינה</w:t>
      </w:r>
      <w:r w:rsidR="00CF5FC6" w:rsidRPr="009A73A8">
        <w:rPr>
          <w:rFonts w:ascii="David" w:hAnsi="David"/>
          <w:rtl/>
        </w:rPr>
        <w:t>, כהגדרתה בחוק</w:t>
      </w:r>
      <w:r w:rsidR="00C94880" w:rsidRPr="009A73A8">
        <w:rPr>
          <w:rFonts w:ascii="David" w:hAnsi="David"/>
          <w:rtl/>
        </w:rPr>
        <w:t xml:space="preserve">. החוק מבחין בין שני מקרים של בנייה: </w:t>
      </w:r>
      <w:r w:rsidR="00C94880" w:rsidRPr="009A73A8">
        <w:rPr>
          <w:rFonts w:ascii="David" w:hAnsi="David"/>
          <w:b/>
          <w:sz w:val="22"/>
          <w:rtl/>
        </w:rPr>
        <w:t>האחד</w:t>
      </w:r>
      <w:r w:rsidR="00C94880" w:rsidRPr="009A73A8">
        <w:rPr>
          <w:rFonts w:ascii="David" w:hAnsi="David"/>
          <w:rtl/>
        </w:rPr>
        <w:t>, בנייה במקרקעין</w:t>
      </w:r>
      <w:r w:rsidR="00B6654B" w:rsidRPr="009A73A8">
        <w:rPr>
          <w:rFonts w:ascii="David" w:hAnsi="David" w:hint="cs"/>
          <w:rtl/>
        </w:rPr>
        <w:t xml:space="preserve"> </w:t>
      </w:r>
      <w:r w:rsidR="00C94880" w:rsidRPr="009A73A8">
        <w:rPr>
          <w:rFonts w:ascii="David" w:hAnsi="David"/>
          <w:rtl/>
        </w:rPr>
        <w:t>ש</w:t>
      </w:r>
      <w:r w:rsidR="00EB56DC" w:rsidRPr="009A73A8">
        <w:rPr>
          <w:rFonts w:ascii="David" w:hAnsi="David" w:hint="cs"/>
          <w:rtl/>
        </w:rPr>
        <w:t xml:space="preserve">בעת הזו </w:t>
      </w:r>
      <w:r w:rsidR="00C94880" w:rsidRPr="009A73A8">
        <w:rPr>
          <w:rFonts w:ascii="David" w:hAnsi="David"/>
          <w:rtl/>
        </w:rPr>
        <w:t>אין בהם בעל זכויות</w:t>
      </w:r>
      <w:r w:rsidR="00EB56DC" w:rsidRPr="009A73A8">
        <w:rPr>
          <w:rFonts w:ascii="David" w:hAnsi="David" w:hint="cs"/>
          <w:rtl/>
        </w:rPr>
        <w:t xml:space="preserve"> ידוע</w:t>
      </w:r>
      <w:r w:rsidR="00C94880" w:rsidRPr="009A73A8">
        <w:rPr>
          <w:rFonts w:ascii="David" w:hAnsi="David"/>
          <w:rtl/>
        </w:rPr>
        <w:t>, ו</w:t>
      </w:r>
      <w:r w:rsidR="00C94880" w:rsidRPr="009A73A8">
        <w:rPr>
          <w:rFonts w:ascii="David" w:hAnsi="David"/>
          <w:b/>
          <w:sz w:val="22"/>
          <w:rtl/>
        </w:rPr>
        <w:t>השני</w:t>
      </w:r>
      <w:r w:rsidR="00B6654B" w:rsidRPr="009A73A8">
        <w:rPr>
          <w:rFonts w:ascii="David" w:hAnsi="David" w:hint="cs"/>
          <w:rtl/>
        </w:rPr>
        <w:t xml:space="preserve"> </w:t>
      </w:r>
      <w:r w:rsidR="00B6654B" w:rsidRPr="009A73A8">
        <w:rPr>
          <w:rFonts w:ascii="David" w:hAnsi="David"/>
          <w:rtl/>
        </w:rPr>
        <w:t>–</w:t>
      </w:r>
      <w:r w:rsidR="00C94880" w:rsidRPr="009A73A8">
        <w:rPr>
          <w:rFonts w:ascii="David" w:hAnsi="David"/>
          <w:rtl/>
        </w:rPr>
        <w:t xml:space="preserve"> בנייה במקרקעין</w:t>
      </w:r>
      <w:r w:rsidR="00C94880" w:rsidRPr="009A73A8">
        <w:rPr>
          <w:rFonts w:hint="cs"/>
          <w:rtl/>
        </w:rPr>
        <w:t xml:space="preserve"> שיש בהם בעל זכויות. ביחס לכל אחד מן המקרים קובע החוק </w:t>
      </w:r>
      <w:r w:rsidR="00085285" w:rsidRPr="009A73A8">
        <w:rPr>
          <w:rFonts w:hint="cs"/>
          <w:rtl/>
        </w:rPr>
        <w:t>את</w:t>
      </w:r>
      <w:r w:rsidR="00C94880" w:rsidRPr="009A73A8">
        <w:rPr>
          <w:rFonts w:hint="cs"/>
          <w:rtl/>
        </w:rPr>
        <w:t xml:space="preserve"> אופן הסדרת</w:t>
      </w:r>
      <w:r w:rsidR="00085285" w:rsidRPr="009A73A8">
        <w:rPr>
          <w:rFonts w:hint="cs"/>
          <w:rtl/>
        </w:rPr>
        <w:t xml:space="preserve"> המקרקעין</w:t>
      </w:r>
      <w:r w:rsidR="00C94880" w:rsidRPr="009A73A8">
        <w:rPr>
          <w:rFonts w:hint="cs"/>
          <w:rtl/>
        </w:rPr>
        <w:t xml:space="preserve"> ו</w:t>
      </w:r>
      <w:r w:rsidR="00085285" w:rsidRPr="009A73A8">
        <w:rPr>
          <w:rFonts w:hint="cs"/>
          <w:rtl/>
        </w:rPr>
        <w:t xml:space="preserve">זאת הן בהיבטים תכנוניים והן בהיבטים קנייניים, </w:t>
      </w:r>
      <w:r w:rsidR="00972CD6" w:rsidRPr="009A73A8">
        <w:rPr>
          <w:rFonts w:hint="cs"/>
          <w:rtl/>
        </w:rPr>
        <w:t>ובכללם</w:t>
      </w:r>
      <w:r w:rsidR="00085285" w:rsidRPr="009A73A8">
        <w:rPr>
          <w:rFonts w:hint="cs"/>
          <w:rtl/>
        </w:rPr>
        <w:t xml:space="preserve"> </w:t>
      </w:r>
      <w:r w:rsidR="00C94880" w:rsidRPr="009A73A8">
        <w:rPr>
          <w:rFonts w:hint="cs"/>
          <w:rtl/>
        </w:rPr>
        <w:t xml:space="preserve">הקצאת זכויות השימוש והחזקה בהם לצורכי ההתיישבות שנבנתה עליהם. </w:t>
      </w:r>
    </w:p>
    <w:p w:rsidR="00972CD6" w:rsidRPr="009A73A8" w:rsidRDefault="00972CD6" w:rsidP="00972CD6">
      <w:pPr>
        <w:pStyle w:val="Ruller4"/>
        <w:numPr>
          <w:ilvl w:val="0"/>
          <w:numId w:val="0"/>
        </w:numPr>
        <w:tabs>
          <w:tab w:val="num" w:pos="10307"/>
        </w:tabs>
        <w:spacing w:line="360" w:lineRule="auto"/>
        <w:textAlignment w:val="baseline"/>
        <w:rPr>
          <w:rtl/>
        </w:rPr>
      </w:pPr>
    </w:p>
    <w:p w:rsidR="00453278" w:rsidRPr="009A73A8" w:rsidRDefault="009D396B" w:rsidP="00972CD6">
      <w:pPr>
        <w:pStyle w:val="Ruller4"/>
        <w:numPr>
          <w:ilvl w:val="0"/>
          <w:numId w:val="0"/>
        </w:numPr>
        <w:tabs>
          <w:tab w:val="num" w:pos="10307"/>
        </w:tabs>
        <w:spacing w:line="360" w:lineRule="auto"/>
        <w:textAlignment w:val="baseline"/>
        <w:rPr>
          <w:rtl/>
        </w:rPr>
      </w:pPr>
      <w:r w:rsidRPr="009A73A8">
        <w:rPr>
          <w:rFonts w:hint="cs"/>
          <w:rtl/>
        </w:rPr>
        <w:t>באופן חריג סירב היועץ המשפטי לממשלה להגן על החוק</w:t>
      </w:r>
      <w:r w:rsidR="00B6654B" w:rsidRPr="009A73A8">
        <w:rPr>
          <w:rFonts w:hint="cs"/>
          <w:rtl/>
        </w:rPr>
        <w:t>,</w:t>
      </w:r>
      <w:r w:rsidRPr="009A73A8">
        <w:rPr>
          <w:rFonts w:hint="cs"/>
          <w:rtl/>
        </w:rPr>
        <w:t xml:space="preserve"> ו</w:t>
      </w:r>
      <w:r w:rsidR="00085285" w:rsidRPr="009A73A8">
        <w:rPr>
          <w:rFonts w:hint="cs"/>
          <w:rtl/>
        </w:rPr>
        <w:t>בעתירות שהוגשו נגד החוק</w:t>
      </w:r>
      <w:r w:rsidR="00465148" w:rsidRPr="009A73A8">
        <w:rPr>
          <w:rFonts w:hint="cs"/>
          <w:rtl/>
        </w:rPr>
        <w:t xml:space="preserve"> </w:t>
      </w:r>
      <w:r w:rsidRPr="009A73A8">
        <w:rPr>
          <w:rFonts w:hint="cs"/>
          <w:rtl/>
        </w:rPr>
        <w:t xml:space="preserve">תמך </w:t>
      </w:r>
      <w:r w:rsidR="00085285" w:rsidRPr="009A73A8">
        <w:rPr>
          <w:rFonts w:hint="cs"/>
          <w:rtl/>
        </w:rPr>
        <w:t xml:space="preserve">היועץ </w:t>
      </w:r>
      <w:r w:rsidRPr="009A73A8">
        <w:rPr>
          <w:rFonts w:hint="cs"/>
          <w:rtl/>
        </w:rPr>
        <w:t xml:space="preserve">בעמדת העותרים </w:t>
      </w:r>
      <w:r w:rsidR="00465148" w:rsidRPr="009A73A8">
        <w:rPr>
          <w:rFonts w:hint="cs"/>
          <w:rtl/>
        </w:rPr>
        <w:t>שטענו כי החוק</w:t>
      </w:r>
      <w:r w:rsidRPr="009A73A8">
        <w:rPr>
          <w:rFonts w:hint="cs"/>
          <w:rtl/>
        </w:rPr>
        <w:t xml:space="preserve"> אינו חוקתי ודינו להתבטל</w:t>
      </w:r>
      <w:r w:rsidR="00465148" w:rsidRPr="009A73A8">
        <w:rPr>
          <w:rFonts w:hint="cs"/>
          <w:rtl/>
        </w:rPr>
        <w:t>.</w:t>
      </w:r>
      <w:r w:rsidRPr="009A73A8">
        <w:rPr>
          <w:rFonts w:hint="cs"/>
          <w:rtl/>
        </w:rPr>
        <w:t xml:space="preserve"> </w:t>
      </w:r>
      <w:r w:rsidR="00465148" w:rsidRPr="009A73A8">
        <w:rPr>
          <w:rFonts w:hint="cs"/>
          <w:rtl/>
        </w:rPr>
        <w:t>הממשלה יוצגה בעתירות על ידי עורך דין פרטי ובמסגרת העתירות הוצא</w:t>
      </w:r>
      <w:r w:rsidR="00085285" w:rsidRPr="009A73A8">
        <w:rPr>
          <w:rFonts w:hint="cs"/>
          <w:rtl/>
        </w:rPr>
        <w:t xml:space="preserve"> </w:t>
      </w:r>
      <w:r w:rsidR="00453278" w:rsidRPr="009A73A8">
        <w:rPr>
          <w:rFonts w:hint="cs"/>
          <w:rtl/>
        </w:rPr>
        <w:t>צו ביניים המקפיא את יישום פעולות ההס</w:t>
      </w:r>
      <w:r w:rsidR="00465148" w:rsidRPr="009A73A8">
        <w:rPr>
          <w:rFonts w:hint="cs"/>
          <w:rtl/>
        </w:rPr>
        <w:t>דרה על פי החוק</w:t>
      </w:r>
      <w:r w:rsidR="00085285" w:rsidRPr="009A73A8">
        <w:rPr>
          <w:rFonts w:hint="cs"/>
          <w:rtl/>
        </w:rPr>
        <w:t xml:space="preserve"> עד להכרעה בהן. כמו כן הוקפאו בצו הביניים הליכי האכיפה והצווים המינהליים שעליהם חל החוק</w:t>
      </w:r>
      <w:r w:rsidR="00972CD6" w:rsidRPr="009A73A8">
        <w:rPr>
          <w:rFonts w:hint="cs"/>
          <w:rtl/>
        </w:rPr>
        <w:t>,</w:t>
      </w:r>
      <w:r w:rsidR="00085285" w:rsidRPr="009A73A8">
        <w:rPr>
          <w:rFonts w:hint="cs"/>
          <w:rtl/>
        </w:rPr>
        <w:t xml:space="preserve"> ביחס לבנייה קיימת ב-16 ישובים המנויים בתוספת לחוק.</w:t>
      </w:r>
      <w:r w:rsidR="00453278" w:rsidRPr="009A73A8">
        <w:rPr>
          <w:rFonts w:hint="cs"/>
          <w:rtl/>
        </w:rPr>
        <w:t xml:space="preserve"> </w:t>
      </w:r>
    </w:p>
    <w:p w:rsidR="004A6F7C" w:rsidRPr="009A73A8" w:rsidRDefault="004A6F7C" w:rsidP="004A6F7C">
      <w:pPr>
        <w:pStyle w:val="Ruller4"/>
        <w:numPr>
          <w:ilvl w:val="0"/>
          <w:numId w:val="0"/>
        </w:numPr>
        <w:tabs>
          <w:tab w:val="num" w:pos="10307"/>
        </w:tabs>
        <w:spacing w:line="360" w:lineRule="auto"/>
        <w:textAlignment w:val="baseline"/>
        <w:rPr>
          <w:rtl/>
        </w:rPr>
      </w:pPr>
    </w:p>
    <w:p w:rsidR="00CF5FC6" w:rsidRPr="009A73A8" w:rsidRDefault="00CF5FC6" w:rsidP="00972CD6">
      <w:pPr>
        <w:pStyle w:val="Ruller4"/>
        <w:numPr>
          <w:ilvl w:val="0"/>
          <w:numId w:val="0"/>
        </w:numPr>
        <w:tabs>
          <w:tab w:val="num" w:pos="10307"/>
        </w:tabs>
        <w:spacing w:line="360" w:lineRule="auto"/>
        <w:textAlignment w:val="baseline"/>
        <w:rPr>
          <w:rFonts w:ascii="FrankRuehl" w:hAnsi="FrankRuehl"/>
          <w:sz w:val="28"/>
          <w:rtl/>
        </w:rPr>
      </w:pPr>
      <w:r w:rsidRPr="009A73A8">
        <w:rPr>
          <w:rFonts w:ascii="David" w:hAnsi="David" w:hint="cs"/>
          <w:rtl/>
        </w:rPr>
        <w:t xml:space="preserve">בפסק הדין שניתן היום קבע </w:t>
      </w:r>
      <w:r w:rsidR="00FB43A2" w:rsidRPr="009A73A8">
        <w:rPr>
          <w:rFonts w:ascii="David" w:hAnsi="David" w:hint="eastAsia"/>
          <w:rtl/>
        </w:rPr>
        <w:t>בית</w:t>
      </w:r>
      <w:r w:rsidR="00FB43A2" w:rsidRPr="009A73A8">
        <w:rPr>
          <w:rFonts w:ascii="David" w:hAnsi="David"/>
          <w:rtl/>
        </w:rPr>
        <w:t xml:space="preserve"> </w:t>
      </w:r>
      <w:r w:rsidR="00FB43A2" w:rsidRPr="009A73A8">
        <w:rPr>
          <w:rFonts w:ascii="David" w:hAnsi="David" w:hint="eastAsia"/>
          <w:rtl/>
        </w:rPr>
        <w:t>המשפט</w:t>
      </w:r>
      <w:r w:rsidR="00FB43A2" w:rsidRPr="009A73A8">
        <w:rPr>
          <w:rFonts w:ascii="David" w:hAnsi="David"/>
          <w:rtl/>
        </w:rPr>
        <w:t xml:space="preserve"> </w:t>
      </w:r>
      <w:r w:rsidR="00EB330B" w:rsidRPr="009A73A8">
        <w:rPr>
          <w:rFonts w:ascii="David" w:hAnsi="David" w:hint="cs"/>
          <w:rtl/>
        </w:rPr>
        <w:t xml:space="preserve">ברוב </w:t>
      </w:r>
      <w:r w:rsidR="00453278" w:rsidRPr="009A73A8">
        <w:rPr>
          <w:rFonts w:ascii="David" w:hAnsi="David" w:hint="cs"/>
          <w:rtl/>
        </w:rPr>
        <w:t xml:space="preserve">של שמונה שופטים </w:t>
      </w:r>
      <w:r w:rsidR="00DF6CA7" w:rsidRPr="009A73A8">
        <w:rPr>
          <w:rFonts w:ascii="FrankRuehl" w:hAnsi="FrankRuehl" w:hint="cs"/>
          <w:sz w:val="28"/>
          <w:rtl/>
        </w:rPr>
        <w:t>(</w:t>
      </w:r>
      <w:r w:rsidR="00DF6CA7" w:rsidRPr="009A73A8">
        <w:rPr>
          <w:rFonts w:ascii="David" w:hAnsi="David" w:hint="cs"/>
          <w:rtl/>
        </w:rPr>
        <w:t>הנשיאה א' חיות</w:t>
      </w:r>
      <w:r w:rsidR="00972CD6" w:rsidRPr="009A73A8">
        <w:rPr>
          <w:rFonts w:ascii="David" w:hAnsi="David" w:hint="cs"/>
          <w:rtl/>
        </w:rPr>
        <w:t xml:space="preserve">; </w:t>
      </w:r>
      <w:r w:rsidR="00DF6CA7" w:rsidRPr="009A73A8">
        <w:rPr>
          <w:rFonts w:ascii="David" w:hAnsi="David" w:hint="cs"/>
          <w:rtl/>
        </w:rPr>
        <w:t>המשנה לנשיאה ח' מלצר; השופט נ' הנדל; השופט ע' פוגלמן; השופט י' עמית; השופטת ד' ברק-ארז; השופט מ' מזוז; השופטת ע' ברון</w:t>
      </w:r>
      <w:r w:rsidR="00453278" w:rsidRPr="009A73A8">
        <w:rPr>
          <w:rFonts w:ascii="David" w:hAnsi="David" w:hint="cs"/>
          <w:rtl/>
        </w:rPr>
        <w:t>)</w:t>
      </w:r>
      <w:r w:rsidR="00972CD6" w:rsidRPr="009A73A8">
        <w:rPr>
          <w:rFonts w:ascii="FrankRuehl" w:hAnsi="FrankRuehl" w:hint="cs"/>
          <w:sz w:val="28"/>
          <w:rtl/>
        </w:rPr>
        <w:t>,</w:t>
      </w:r>
      <w:r w:rsidR="00DF6CA7" w:rsidRPr="009A73A8">
        <w:rPr>
          <w:rFonts w:ascii="FrankRuehl" w:hAnsi="FrankRuehl" w:hint="cs"/>
          <w:sz w:val="28"/>
          <w:rtl/>
        </w:rPr>
        <w:t xml:space="preserve"> </w:t>
      </w:r>
      <w:r w:rsidRPr="009A73A8">
        <w:rPr>
          <w:rFonts w:ascii="FrankRuehl" w:hAnsi="FrankRuehl" w:hint="cs"/>
          <w:sz w:val="28"/>
          <w:rtl/>
        </w:rPr>
        <w:t xml:space="preserve">כי חוק ההסדרה אינו חוקתי והורה על בטלותו. השופט נ' סולברג סבר, לעומת זאת, כי ניתן להסתפק בתיקון החוק בדרך של צמצום הגדרת המונחים "התיישבות" ו-"מדינה". </w:t>
      </w:r>
    </w:p>
    <w:p w:rsidR="00CF5FC6" w:rsidRPr="009A73A8" w:rsidRDefault="00CF5FC6" w:rsidP="00CF5FC6">
      <w:pPr>
        <w:pStyle w:val="Ruller4"/>
        <w:numPr>
          <w:ilvl w:val="0"/>
          <w:numId w:val="0"/>
        </w:numPr>
        <w:tabs>
          <w:tab w:val="num" w:pos="10307"/>
        </w:tabs>
        <w:spacing w:line="360" w:lineRule="auto"/>
        <w:textAlignment w:val="baseline"/>
        <w:rPr>
          <w:rFonts w:ascii="FrankRuehl" w:hAnsi="FrankRuehl"/>
          <w:sz w:val="28"/>
          <w:rtl/>
        </w:rPr>
      </w:pPr>
    </w:p>
    <w:p w:rsidR="00EB330B" w:rsidRPr="009A73A8" w:rsidRDefault="00EB330B" w:rsidP="00972CD6">
      <w:pPr>
        <w:pStyle w:val="Ruller4"/>
        <w:numPr>
          <w:ilvl w:val="0"/>
          <w:numId w:val="0"/>
        </w:numPr>
        <w:tabs>
          <w:tab w:val="num" w:pos="10307"/>
        </w:tabs>
        <w:spacing w:line="360" w:lineRule="auto"/>
        <w:textAlignment w:val="baseline"/>
        <w:rPr>
          <w:rFonts w:ascii="FrankRuehl" w:hAnsi="FrankRuehl"/>
          <w:sz w:val="28"/>
          <w:rtl/>
        </w:rPr>
      </w:pPr>
      <w:r w:rsidRPr="009A73A8">
        <w:rPr>
          <w:rFonts w:ascii="FrankRuehl" w:hAnsi="FrankRuehl" w:hint="cs"/>
          <w:sz w:val="28"/>
          <w:rtl/>
        </w:rPr>
        <w:t xml:space="preserve">ההכרעה בעתירות התבססה על אמות המידה החוקתיות של המשפט הישראלי </w:t>
      </w:r>
      <w:r w:rsidR="00CF5FC6" w:rsidRPr="009A73A8">
        <w:rPr>
          <w:rFonts w:ascii="FrankRuehl" w:hAnsi="FrankRuehl" w:hint="cs"/>
          <w:sz w:val="28"/>
          <w:rtl/>
        </w:rPr>
        <w:t xml:space="preserve">הקבועות בחוק יסוד: כבוד האדם וחירותו, </w:t>
      </w:r>
      <w:r w:rsidR="00DF6CA7" w:rsidRPr="009A73A8">
        <w:rPr>
          <w:rFonts w:ascii="FrankRuehl" w:hAnsi="FrankRuehl" w:hint="cs"/>
          <w:sz w:val="28"/>
          <w:rtl/>
        </w:rPr>
        <w:t xml:space="preserve">שלהחלתן בנסיבות העניין הסכימו, במידה כזו או אחרת, </w:t>
      </w:r>
      <w:r w:rsidRPr="009A73A8">
        <w:rPr>
          <w:rFonts w:ascii="FrankRuehl" w:hAnsi="FrankRuehl" w:hint="cs"/>
          <w:sz w:val="28"/>
          <w:rtl/>
        </w:rPr>
        <w:t xml:space="preserve">כל הצדדים לעתירות. משכך, </w:t>
      </w:r>
      <w:r w:rsidR="00972CD6" w:rsidRPr="009A73A8">
        <w:rPr>
          <w:rFonts w:ascii="FrankRuehl" w:hAnsi="FrankRuehl" w:hint="cs"/>
          <w:sz w:val="28"/>
          <w:rtl/>
        </w:rPr>
        <w:t xml:space="preserve">הותיר </w:t>
      </w:r>
      <w:r w:rsidRPr="009A73A8">
        <w:rPr>
          <w:rFonts w:ascii="FrankRuehl" w:hAnsi="FrankRuehl" w:hint="cs"/>
          <w:sz w:val="28"/>
          <w:rtl/>
        </w:rPr>
        <w:t xml:space="preserve">בית המשפט </w:t>
      </w:r>
      <w:r w:rsidR="00972CD6" w:rsidRPr="009A73A8">
        <w:rPr>
          <w:rFonts w:ascii="FrankRuehl" w:hAnsi="FrankRuehl" w:hint="cs"/>
          <w:sz w:val="28"/>
          <w:rtl/>
        </w:rPr>
        <w:t>בצריך עיון את הטענה הנוגעת ל</w:t>
      </w:r>
      <w:r w:rsidR="00CF5FC6" w:rsidRPr="009A73A8">
        <w:rPr>
          <w:rFonts w:ascii="FrankRuehl" w:hAnsi="FrankRuehl" w:hint="cs"/>
          <w:sz w:val="28"/>
          <w:rtl/>
        </w:rPr>
        <w:t xml:space="preserve">עצם </w:t>
      </w:r>
      <w:r w:rsidRPr="009A73A8">
        <w:rPr>
          <w:rFonts w:ascii="FrankRuehl" w:hAnsi="FrankRuehl" w:hint="cs"/>
          <w:sz w:val="28"/>
          <w:rtl/>
        </w:rPr>
        <w:t xml:space="preserve">סמכותה של הכנסת לחוקק חוק אשר חל בתחולה ישירה </w:t>
      </w:r>
      <w:r w:rsidR="00CF5FC6" w:rsidRPr="009A73A8">
        <w:rPr>
          <w:rFonts w:ascii="FrankRuehl" w:hAnsi="FrankRuehl" w:hint="cs"/>
          <w:sz w:val="28"/>
          <w:rtl/>
        </w:rPr>
        <w:t>באזור יהודה ושומרון</w:t>
      </w:r>
      <w:r w:rsidR="001D1FD2" w:rsidRPr="009A73A8">
        <w:rPr>
          <w:rFonts w:ascii="FrankRuehl" w:hAnsi="FrankRuehl" w:hint="cs"/>
          <w:sz w:val="28"/>
          <w:rtl/>
        </w:rPr>
        <w:t>,</w:t>
      </w:r>
      <w:r w:rsidR="00CF5FC6" w:rsidRPr="009A73A8">
        <w:rPr>
          <w:rFonts w:ascii="FrankRuehl" w:hAnsi="FrankRuehl" w:hint="cs"/>
          <w:sz w:val="28"/>
          <w:rtl/>
        </w:rPr>
        <w:t xml:space="preserve"> הנתון בתפיסה לוחמתית</w:t>
      </w:r>
      <w:r w:rsidR="001D1FD2" w:rsidRPr="009A73A8">
        <w:rPr>
          <w:rFonts w:ascii="FrankRuehl" w:hAnsi="FrankRuehl" w:hint="cs"/>
          <w:sz w:val="28"/>
          <w:rtl/>
        </w:rPr>
        <w:t>.</w:t>
      </w:r>
      <w:r w:rsidRPr="009A73A8">
        <w:rPr>
          <w:rFonts w:ascii="FrankRuehl" w:hAnsi="FrankRuehl" w:hint="cs"/>
          <w:sz w:val="28"/>
          <w:rtl/>
        </w:rPr>
        <w:t xml:space="preserve"> </w:t>
      </w:r>
    </w:p>
    <w:p w:rsidR="00EB330B" w:rsidRPr="009A73A8" w:rsidRDefault="00EB330B" w:rsidP="0027027B">
      <w:pPr>
        <w:pStyle w:val="Ruller4"/>
        <w:numPr>
          <w:ilvl w:val="0"/>
          <w:numId w:val="0"/>
        </w:numPr>
        <w:tabs>
          <w:tab w:val="num" w:pos="10307"/>
        </w:tabs>
        <w:spacing w:line="360" w:lineRule="auto"/>
        <w:textAlignment w:val="baseline"/>
        <w:rPr>
          <w:rFonts w:ascii="David" w:hAnsi="David"/>
          <w:rtl/>
        </w:rPr>
      </w:pPr>
    </w:p>
    <w:p w:rsidR="00F93C7C" w:rsidRPr="009A73A8" w:rsidRDefault="001D1FD2" w:rsidP="00780155">
      <w:pPr>
        <w:pStyle w:val="Ruller4"/>
        <w:numPr>
          <w:ilvl w:val="0"/>
          <w:numId w:val="0"/>
        </w:numPr>
        <w:tabs>
          <w:tab w:val="num" w:pos="10307"/>
        </w:tabs>
        <w:spacing w:line="360" w:lineRule="auto"/>
        <w:textAlignment w:val="baseline"/>
        <w:rPr>
          <w:rtl/>
        </w:rPr>
      </w:pPr>
      <w:r w:rsidRPr="009A73A8">
        <w:rPr>
          <w:rFonts w:ascii="David" w:hAnsi="David" w:hint="cs"/>
          <w:rtl/>
        </w:rPr>
        <w:lastRenderedPageBreak/>
        <w:t>בית המשפט קבע</w:t>
      </w:r>
      <w:r w:rsidR="00FA3B73" w:rsidRPr="009A73A8">
        <w:rPr>
          <w:rFonts w:ascii="David" w:hAnsi="David" w:hint="cs"/>
          <w:rtl/>
        </w:rPr>
        <w:t xml:space="preserve"> כי חוק ההסדרה פוגע בזכות הקניין ובזכות לשוויון של תושבי האזור הפלסטינים, </w:t>
      </w:r>
      <w:r w:rsidRPr="009A73A8">
        <w:rPr>
          <w:rFonts w:ascii="David" w:hAnsi="David" w:hint="cs"/>
          <w:rtl/>
        </w:rPr>
        <w:t>ומקנה</w:t>
      </w:r>
      <w:r w:rsidR="00FA3B73" w:rsidRPr="009A73A8">
        <w:rPr>
          <w:rFonts w:ascii="David" w:hAnsi="David" w:hint="cs"/>
          <w:rtl/>
        </w:rPr>
        <w:t xml:space="preserve"> </w:t>
      </w:r>
      <w:r w:rsidR="005746AE" w:rsidRPr="009A73A8">
        <w:rPr>
          <w:rFonts w:ascii="David" w:hAnsi="David" w:hint="cs"/>
          <w:rtl/>
        </w:rPr>
        <w:t>עדיפות מובהקת</w:t>
      </w:r>
      <w:r w:rsidR="00FA3B73" w:rsidRPr="009A73A8">
        <w:rPr>
          <w:rFonts w:ascii="David" w:hAnsi="David" w:hint="cs"/>
          <w:rtl/>
        </w:rPr>
        <w:t xml:space="preserve"> לאינטרסים של המתיישבים הישראלים</w:t>
      </w:r>
      <w:r w:rsidR="005746AE" w:rsidRPr="009A73A8">
        <w:rPr>
          <w:rFonts w:ascii="David" w:hAnsi="David" w:hint="cs"/>
          <w:rtl/>
        </w:rPr>
        <w:t xml:space="preserve"> על פני תושבי האזור הפלסטינים</w:t>
      </w:r>
      <w:r w:rsidR="00FA3B73" w:rsidRPr="009A73A8">
        <w:rPr>
          <w:rFonts w:ascii="David" w:hAnsi="David" w:hint="cs"/>
          <w:rtl/>
        </w:rPr>
        <w:t xml:space="preserve">, ללא כל בחינה פרטנית של הנסיבות </w:t>
      </w:r>
      <w:r w:rsidRPr="009A73A8">
        <w:rPr>
          <w:rFonts w:ascii="David" w:hAnsi="David" w:hint="cs"/>
          <w:rtl/>
        </w:rPr>
        <w:t>ש</w:t>
      </w:r>
      <w:r w:rsidR="00FA3B73" w:rsidRPr="009A73A8">
        <w:rPr>
          <w:rFonts w:ascii="David" w:hAnsi="David" w:hint="cs"/>
          <w:rtl/>
        </w:rPr>
        <w:t>בהן הוקמה ההתיישבות ו</w:t>
      </w:r>
      <w:r w:rsidRPr="009A73A8">
        <w:rPr>
          <w:rFonts w:ascii="David" w:hAnsi="David" w:hint="cs"/>
          <w:rtl/>
        </w:rPr>
        <w:t xml:space="preserve">של </w:t>
      </w:r>
      <w:r w:rsidR="00FA3B73" w:rsidRPr="009A73A8">
        <w:rPr>
          <w:rFonts w:ascii="David" w:hAnsi="David" w:hint="cs"/>
          <w:rtl/>
        </w:rPr>
        <w:t>מעורבות המדינה בהקמתה, ומבלי ליתן משקל מספק למעמדם המיוחד של תושבי האזור הפלסטינים כ"תושבים מוגנים"</w:t>
      </w:r>
      <w:r w:rsidR="00E33352" w:rsidRPr="009A73A8">
        <w:rPr>
          <w:rFonts w:ascii="David" w:hAnsi="David" w:hint="cs"/>
          <w:rtl/>
        </w:rPr>
        <w:t xml:space="preserve"> בשטח הנתון בתפיסה לוחמתית</w:t>
      </w:r>
      <w:r w:rsidR="00FA3B73" w:rsidRPr="009A73A8">
        <w:rPr>
          <w:rFonts w:ascii="David" w:hAnsi="David" w:hint="cs"/>
          <w:rtl/>
        </w:rPr>
        <w:t>.</w:t>
      </w:r>
      <w:r w:rsidR="00FA3B73" w:rsidRPr="009A73A8">
        <w:rPr>
          <w:rFonts w:hint="cs"/>
          <w:rtl/>
        </w:rPr>
        <w:t xml:space="preserve"> למעשה, </w:t>
      </w:r>
      <w:r w:rsidR="005746AE" w:rsidRPr="009A73A8">
        <w:rPr>
          <w:rFonts w:hint="cs"/>
          <w:rtl/>
        </w:rPr>
        <w:t xml:space="preserve">כך נקבע, </w:t>
      </w:r>
      <w:r w:rsidR="00FA3B73" w:rsidRPr="009A73A8">
        <w:rPr>
          <w:rFonts w:hint="cs"/>
          <w:rtl/>
        </w:rPr>
        <w:t xml:space="preserve">החוק מכשיר בדיעבד </w:t>
      </w:r>
      <w:r w:rsidR="00F93C7C" w:rsidRPr="009A73A8">
        <w:rPr>
          <w:rFonts w:hint="cs"/>
          <w:rtl/>
        </w:rPr>
        <w:t>נטילה כפויה ו</w:t>
      </w:r>
      <w:r w:rsidR="00FA3B73" w:rsidRPr="009A73A8">
        <w:rPr>
          <w:rFonts w:hint="cs"/>
          <w:rtl/>
        </w:rPr>
        <w:t xml:space="preserve">בלתי חוקית של זכויות שימוש וחזקה </w:t>
      </w:r>
      <w:r w:rsidR="005746AE" w:rsidRPr="009A73A8">
        <w:rPr>
          <w:rFonts w:hint="cs"/>
          <w:rtl/>
        </w:rPr>
        <w:t>במקרקעין שיש בה</w:t>
      </w:r>
      <w:r w:rsidR="00F93C7C" w:rsidRPr="009A73A8">
        <w:rPr>
          <w:rFonts w:hint="cs"/>
          <w:rtl/>
        </w:rPr>
        <w:t>ם בעל זכויות</w:t>
      </w:r>
      <w:r w:rsidR="00365592" w:rsidRPr="009A73A8">
        <w:rPr>
          <w:rFonts w:hint="cs"/>
          <w:rtl/>
        </w:rPr>
        <w:t>,</w:t>
      </w:r>
      <w:r w:rsidR="00E328EC" w:rsidRPr="009A73A8">
        <w:rPr>
          <w:rFonts w:hint="cs"/>
          <w:rtl/>
        </w:rPr>
        <w:t xml:space="preserve"> </w:t>
      </w:r>
      <w:r w:rsidR="00365592" w:rsidRPr="009A73A8">
        <w:rPr>
          <w:rFonts w:hint="cs"/>
          <w:rtl/>
        </w:rPr>
        <w:t>ו</w:t>
      </w:r>
      <w:r w:rsidR="005746AE" w:rsidRPr="009A73A8">
        <w:rPr>
          <w:rFonts w:hint="cs"/>
          <w:rtl/>
        </w:rPr>
        <w:t xml:space="preserve">ביחס למקרקעין </w:t>
      </w:r>
      <w:r w:rsidRPr="009A73A8">
        <w:rPr>
          <w:rFonts w:hint="cs"/>
          <w:rtl/>
        </w:rPr>
        <w:t xml:space="preserve">שאין בהם בעל זכות </w:t>
      </w:r>
      <w:r w:rsidR="00F93C7C" w:rsidRPr="009A73A8">
        <w:rPr>
          <w:rFonts w:hint="cs"/>
          <w:rtl/>
        </w:rPr>
        <w:t>מוסיף</w:t>
      </w:r>
      <w:r w:rsidR="00FA3B73" w:rsidRPr="009A73A8">
        <w:rPr>
          <w:rFonts w:hint="cs"/>
          <w:rtl/>
        </w:rPr>
        <w:t xml:space="preserve"> </w:t>
      </w:r>
      <w:r w:rsidR="00E33352" w:rsidRPr="009A73A8">
        <w:rPr>
          <w:rFonts w:hint="cs"/>
          <w:rtl/>
        </w:rPr>
        <w:t>ה</w:t>
      </w:r>
      <w:r w:rsidR="005746AE" w:rsidRPr="009A73A8">
        <w:rPr>
          <w:rFonts w:hint="cs"/>
          <w:rtl/>
        </w:rPr>
        <w:t>חוק</w:t>
      </w:r>
      <w:r w:rsidR="00F93C7C" w:rsidRPr="009A73A8">
        <w:rPr>
          <w:rFonts w:hint="cs"/>
          <w:rtl/>
        </w:rPr>
        <w:t xml:space="preserve"> וקובע</w:t>
      </w:r>
      <w:r w:rsidR="005746AE" w:rsidRPr="009A73A8">
        <w:rPr>
          <w:rFonts w:hint="cs"/>
          <w:rtl/>
        </w:rPr>
        <w:t xml:space="preserve"> </w:t>
      </w:r>
      <w:r w:rsidRPr="009A73A8">
        <w:rPr>
          <w:rFonts w:hint="cs"/>
          <w:rtl/>
        </w:rPr>
        <w:t>כי הם יירשמו כרכוש ממשלתי בתוך 12 חודשים</w:t>
      </w:r>
      <w:r w:rsidR="00F93C7C" w:rsidRPr="009A73A8">
        <w:rPr>
          <w:rFonts w:hint="cs"/>
          <w:rtl/>
        </w:rPr>
        <w:t>,</w:t>
      </w:r>
      <w:r w:rsidRPr="009A73A8">
        <w:rPr>
          <w:rFonts w:hint="cs"/>
          <w:rtl/>
        </w:rPr>
        <w:t xml:space="preserve"> אלא אם כן עלה בידי הטוען לזכויות להוכיח</w:t>
      </w:r>
      <w:r w:rsidR="00E328EC" w:rsidRPr="009A73A8">
        <w:rPr>
          <w:rFonts w:hint="cs"/>
          <w:rtl/>
        </w:rPr>
        <w:t xml:space="preserve"> </w:t>
      </w:r>
      <w:r w:rsidR="00F93C7C" w:rsidRPr="009A73A8">
        <w:rPr>
          <w:rFonts w:hint="cs"/>
          <w:rtl/>
        </w:rPr>
        <w:t>בתוך פרק זמן זה</w:t>
      </w:r>
      <w:r w:rsidR="00365592" w:rsidRPr="009A73A8">
        <w:rPr>
          <w:rFonts w:hint="cs"/>
          <w:rtl/>
        </w:rPr>
        <w:t xml:space="preserve"> את בעלותו בהם.</w:t>
      </w:r>
      <w:r w:rsidR="003E09DE" w:rsidRPr="009A73A8">
        <w:rPr>
          <w:rFonts w:hint="cs"/>
          <w:rtl/>
        </w:rPr>
        <w:t xml:space="preserve"> </w:t>
      </w:r>
    </w:p>
    <w:p w:rsidR="00F93C7C" w:rsidRPr="009A73A8" w:rsidRDefault="00F93C7C" w:rsidP="00F93C7C">
      <w:pPr>
        <w:pStyle w:val="Ruller4"/>
        <w:numPr>
          <w:ilvl w:val="0"/>
          <w:numId w:val="0"/>
        </w:numPr>
        <w:tabs>
          <w:tab w:val="num" w:pos="10307"/>
        </w:tabs>
        <w:spacing w:line="360" w:lineRule="auto"/>
        <w:textAlignment w:val="baseline"/>
        <w:rPr>
          <w:rtl/>
        </w:rPr>
      </w:pPr>
    </w:p>
    <w:p w:rsidR="00EB56DC" w:rsidRPr="009A73A8" w:rsidRDefault="003E09DE" w:rsidP="00F93C7C">
      <w:pPr>
        <w:pStyle w:val="Ruller4"/>
        <w:numPr>
          <w:ilvl w:val="0"/>
          <w:numId w:val="0"/>
        </w:numPr>
        <w:tabs>
          <w:tab w:val="num" w:pos="10307"/>
        </w:tabs>
        <w:spacing w:line="360" w:lineRule="auto"/>
        <w:textAlignment w:val="baseline"/>
        <w:rPr>
          <w:rtl/>
        </w:rPr>
      </w:pPr>
      <w:r w:rsidRPr="009A73A8">
        <w:rPr>
          <w:rFonts w:hint="cs"/>
          <w:rtl/>
        </w:rPr>
        <w:t xml:space="preserve">בהיבט התכנוני עמד בית המשפט על הפגיעה בזכות </w:t>
      </w:r>
      <w:r w:rsidR="00F93C7C" w:rsidRPr="009A73A8">
        <w:rPr>
          <w:rFonts w:hint="cs"/>
          <w:rtl/>
        </w:rPr>
        <w:t>ל</w:t>
      </w:r>
      <w:r w:rsidRPr="009A73A8">
        <w:rPr>
          <w:rFonts w:hint="cs"/>
          <w:rtl/>
        </w:rPr>
        <w:t>שוויון הנגרמת בשל היחס השונה והמיטיב שלו זוכים על פי חוק ההסדרה עברייני בנייה ישראלים באזור</w:t>
      </w:r>
      <w:r w:rsidR="00780155" w:rsidRPr="009A73A8">
        <w:rPr>
          <w:rFonts w:hint="cs"/>
          <w:rtl/>
        </w:rPr>
        <w:t>,</w:t>
      </w:r>
      <w:r w:rsidRPr="009A73A8">
        <w:rPr>
          <w:rFonts w:hint="cs"/>
          <w:rtl/>
        </w:rPr>
        <w:t xml:space="preserve"> בהשוואה לעברייני בנייה פלסטינים באזור ולמעשה גם בהשוואה לעברייני בנייה בתוך ישראל עצמה.</w:t>
      </w:r>
    </w:p>
    <w:p w:rsidR="00EB56DC" w:rsidRPr="009A73A8" w:rsidRDefault="00EB56DC" w:rsidP="00EB56DC">
      <w:pPr>
        <w:rPr>
          <w:rtl/>
        </w:rPr>
      </w:pPr>
    </w:p>
    <w:p w:rsidR="00B67775" w:rsidRPr="009A73A8" w:rsidRDefault="00EB56DC" w:rsidP="00B67775">
      <w:pPr>
        <w:pStyle w:val="Ruller4"/>
        <w:numPr>
          <w:ilvl w:val="0"/>
          <w:numId w:val="0"/>
        </w:numPr>
        <w:tabs>
          <w:tab w:val="num" w:pos="10307"/>
        </w:tabs>
        <w:spacing w:line="360" w:lineRule="auto"/>
        <w:textAlignment w:val="baseline"/>
        <w:rPr>
          <w:sz w:val="28"/>
          <w:rtl/>
        </w:rPr>
      </w:pPr>
      <w:r w:rsidRPr="009A73A8">
        <w:rPr>
          <w:rFonts w:ascii="David" w:hAnsi="David" w:hint="cs"/>
          <w:rtl/>
        </w:rPr>
        <w:t xml:space="preserve">נוכח פגיעה מובהקת זו שפוגע החוק בזכות לקניין ובזכות לשוויון, נדרש בית המשפט לבחינת חוקתיותו של החוק על פי מבחני פסקת ההגבלה שבסעיף 8 לחוק יסוד: כבוד האדם וחירותו. </w:t>
      </w:r>
      <w:r w:rsidR="00B76150" w:rsidRPr="009A73A8">
        <w:rPr>
          <w:rFonts w:hint="cs"/>
          <w:rtl/>
        </w:rPr>
        <w:t>בית המשפט</w:t>
      </w:r>
      <w:r w:rsidRPr="009A73A8">
        <w:rPr>
          <w:rFonts w:hint="cs"/>
          <w:rtl/>
        </w:rPr>
        <w:t xml:space="preserve"> </w:t>
      </w:r>
      <w:r w:rsidR="00590545" w:rsidRPr="009A73A8">
        <w:rPr>
          <w:rFonts w:hint="cs"/>
          <w:rtl/>
        </w:rPr>
        <w:t xml:space="preserve">העליון התייחס בפסק הדין לתכליות שאותן נועד חוק ההסדרה להגשים וקבע כי ניתן לראות כתכלית ראויה את התכלית "האנושית" </w:t>
      </w:r>
      <w:r w:rsidR="00590545" w:rsidRPr="009A73A8">
        <w:rPr>
          <w:rtl/>
        </w:rPr>
        <w:t>–</w:t>
      </w:r>
      <w:r w:rsidR="00590545" w:rsidRPr="009A73A8">
        <w:rPr>
          <w:rFonts w:hint="cs"/>
          <w:rtl/>
        </w:rPr>
        <w:t xml:space="preserve"> למנוע</w:t>
      </w:r>
      <w:r w:rsidRPr="009A73A8">
        <w:rPr>
          <w:rFonts w:hint="cs"/>
          <w:rtl/>
        </w:rPr>
        <w:t xml:space="preserve"> הריסה ופינוי התיישבות תוך מתן מענה למצוקתם של אותם מתיישבים שהקימו את בתיהם</w:t>
      </w:r>
      <w:r w:rsidR="00590545" w:rsidRPr="009A73A8">
        <w:rPr>
          <w:rFonts w:hint="cs"/>
          <w:rtl/>
        </w:rPr>
        <w:t xml:space="preserve"> בתום לב</w:t>
      </w:r>
      <w:r w:rsidR="00F93C7C" w:rsidRPr="009A73A8">
        <w:rPr>
          <w:rFonts w:hint="cs"/>
          <w:rtl/>
        </w:rPr>
        <w:t>,</w:t>
      </w:r>
      <w:r w:rsidRPr="009A73A8">
        <w:rPr>
          <w:rFonts w:hint="cs"/>
          <w:rtl/>
        </w:rPr>
        <w:t xml:space="preserve"> </w:t>
      </w:r>
      <w:r w:rsidR="00590545" w:rsidRPr="009A73A8">
        <w:rPr>
          <w:rFonts w:hint="cs"/>
          <w:rtl/>
        </w:rPr>
        <w:t>בהסתמך</w:t>
      </w:r>
      <w:r w:rsidRPr="009A73A8">
        <w:rPr>
          <w:rFonts w:hint="cs"/>
          <w:rtl/>
        </w:rPr>
        <w:t xml:space="preserve"> על הסכמת המדינה ומוסדותיה, ולימים התברר כי בתים אלה הוקמו על רכוש שאינו ממשלתי</w:t>
      </w:r>
      <w:r w:rsidR="00590545" w:rsidRPr="009A73A8">
        <w:rPr>
          <w:rFonts w:hint="cs"/>
          <w:rtl/>
        </w:rPr>
        <w:t>. בית המשפט הוסיף וציין את</w:t>
      </w:r>
      <w:r w:rsidRPr="009A73A8">
        <w:rPr>
          <w:rFonts w:hint="cs"/>
          <w:rtl/>
        </w:rPr>
        <w:t xml:space="preserve"> </w:t>
      </w:r>
      <w:r w:rsidR="007413AE" w:rsidRPr="009A73A8">
        <w:rPr>
          <w:rFonts w:hint="cs"/>
          <w:rtl/>
        </w:rPr>
        <w:t xml:space="preserve">התועלת הגלומה בחוק </w:t>
      </w:r>
      <w:r w:rsidR="00590545" w:rsidRPr="009A73A8">
        <w:rPr>
          <w:rFonts w:hint="cs"/>
          <w:rtl/>
        </w:rPr>
        <w:t>נוכח</w:t>
      </w:r>
      <w:r w:rsidR="007413AE" w:rsidRPr="009A73A8">
        <w:rPr>
          <w:rFonts w:hint="cs"/>
          <w:rtl/>
        </w:rPr>
        <w:t xml:space="preserve"> יציר</w:t>
      </w:r>
      <w:r w:rsidR="00590545" w:rsidRPr="009A73A8">
        <w:rPr>
          <w:rFonts w:hint="cs"/>
          <w:rtl/>
        </w:rPr>
        <w:t>ת</w:t>
      </w:r>
      <w:r w:rsidR="00E33352" w:rsidRPr="009A73A8">
        <w:rPr>
          <w:rFonts w:hint="cs"/>
          <w:rtl/>
        </w:rPr>
        <w:t xml:space="preserve"> מנגנון פשוט וקל להפעלה שי</w:t>
      </w:r>
      <w:r w:rsidR="007413AE" w:rsidRPr="009A73A8">
        <w:rPr>
          <w:rFonts w:hint="cs"/>
          <w:rtl/>
        </w:rPr>
        <w:t>מנע פינוי יישובים ו"הצפה" של בתי המשפט בהליכים פרטניים שעניינם הסדרת הזכויות במקרקעין של המתיישבים הישראלים באזור.</w:t>
      </w:r>
      <w:r w:rsidR="00590545" w:rsidRPr="009A73A8">
        <w:rPr>
          <w:rFonts w:hint="cs"/>
          <w:rtl/>
        </w:rPr>
        <w:t xml:space="preserve"> ואולם,</w:t>
      </w:r>
      <w:r w:rsidR="00B76150" w:rsidRPr="009A73A8">
        <w:rPr>
          <w:rFonts w:hint="cs"/>
          <w:rtl/>
        </w:rPr>
        <w:t xml:space="preserve"> </w:t>
      </w:r>
      <w:r w:rsidR="007413AE" w:rsidRPr="009A73A8">
        <w:rPr>
          <w:rFonts w:ascii="David" w:hAnsi="David" w:hint="cs"/>
          <w:rtl/>
        </w:rPr>
        <w:t>אל מול תועלת זו</w:t>
      </w:r>
      <w:r w:rsidR="00B76150" w:rsidRPr="009A73A8">
        <w:rPr>
          <w:rFonts w:ascii="David" w:hAnsi="David" w:hint="cs"/>
          <w:rtl/>
        </w:rPr>
        <w:t>, כך נקבע,</w:t>
      </w:r>
      <w:r w:rsidR="007413AE" w:rsidRPr="009A73A8">
        <w:rPr>
          <w:rFonts w:ascii="David" w:hAnsi="David" w:hint="cs"/>
          <w:rtl/>
        </w:rPr>
        <w:t xml:space="preserve"> עומדת הפגיעה </w:t>
      </w:r>
      <w:r w:rsidR="00094F79" w:rsidRPr="009A73A8">
        <w:rPr>
          <w:rFonts w:ascii="David" w:hAnsi="David" w:hint="cs"/>
          <w:rtl/>
        </w:rPr>
        <w:t xml:space="preserve">המובהקת </w:t>
      </w:r>
      <w:r w:rsidR="007413AE" w:rsidRPr="009A73A8">
        <w:rPr>
          <w:rFonts w:ascii="David" w:hAnsi="David" w:hint="cs"/>
          <w:rtl/>
        </w:rPr>
        <w:t xml:space="preserve">בזכויותיהם של תושבי האזור הפלסטינים </w:t>
      </w:r>
      <w:r w:rsidR="007413AE" w:rsidRPr="009A73A8">
        <w:rPr>
          <w:rFonts w:ascii="David" w:hAnsi="David"/>
          <w:rtl/>
        </w:rPr>
        <w:t>–</w:t>
      </w:r>
      <w:r w:rsidR="007413AE" w:rsidRPr="009A73A8">
        <w:rPr>
          <w:rFonts w:ascii="David" w:hAnsi="David" w:hint="cs"/>
          <w:rtl/>
        </w:rPr>
        <w:t xml:space="preserve"> הזכות לקניין והזכות לשוויון</w:t>
      </w:r>
      <w:r w:rsidR="00067DB9" w:rsidRPr="009A73A8">
        <w:rPr>
          <w:rFonts w:ascii="David" w:hAnsi="David" w:hint="cs"/>
          <w:rtl/>
        </w:rPr>
        <w:t>.</w:t>
      </w:r>
      <w:r w:rsidR="007413AE" w:rsidRPr="009A73A8">
        <w:rPr>
          <w:rFonts w:ascii="David" w:hAnsi="David" w:hint="cs"/>
          <w:rtl/>
        </w:rPr>
        <w:t xml:space="preserve"> בית המשפט למד </w:t>
      </w:r>
      <w:r w:rsidR="007413AE" w:rsidRPr="009A73A8">
        <w:rPr>
          <w:rFonts w:hint="cs"/>
          <w:rtl/>
        </w:rPr>
        <w:t xml:space="preserve">על </w:t>
      </w:r>
      <w:r w:rsidR="00100B9E" w:rsidRPr="009A73A8">
        <w:rPr>
          <w:rFonts w:hint="cs"/>
          <w:rtl/>
        </w:rPr>
        <w:t>היקף</w:t>
      </w:r>
      <w:r w:rsidR="007413AE" w:rsidRPr="009A73A8">
        <w:rPr>
          <w:rFonts w:hint="cs"/>
          <w:rtl/>
        </w:rPr>
        <w:t xml:space="preserve"> הפגיעה בזכויות</w:t>
      </w:r>
      <w:r w:rsidR="00590545" w:rsidRPr="009A73A8">
        <w:rPr>
          <w:rFonts w:hint="cs"/>
          <w:rtl/>
        </w:rPr>
        <w:t xml:space="preserve"> אלה</w:t>
      </w:r>
      <w:r w:rsidR="007413AE" w:rsidRPr="009A73A8">
        <w:rPr>
          <w:rFonts w:hint="cs"/>
          <w:rtl/>
        </w:rPr>
        <w:t xml:space="preserve"> </w:t>
      </w:r>
      <w:r w:rsidR="00067DB9" w:rsidRPr="009A73A8">
        <w:rPr>
          <w:rFonts w:hint="cs"/>
          <w:rtl/>
        </w:rPr>
        <w:t>ועל עוצמתה</w:t>
      </w:r>
      <w:r w:rsidR="00590545" w:rsidRPr="009A73A8">
        <w:rPr>
          <w:rFonts w:hint="cs"/>
          <w:rtl/>
        </w:rPr>
        <w:t>, בין היתר,</w:t>
      </w:r>
      <w:r w:rsidR="00067DB9" w:rsidRPr="009A73A8">
        <w:rPr>
          <w:rFonts w:hint="cs"/>
          <w:rtl/>
        </w:rPr>
        <w:t xml:space="preserve"> </w:t>
      </w:r>
      <w:r w:rsidR="00590545" w:rsidRPr="009A73A8">
        <w:rPr>
          <w:rFonts w:hint="cs"/>
          <w:rtl/>
        </w:rPr>
        <w:t xml:space="preserve">מהשוואת </w:t>
      </w:r>
      <w:r w:rsidR="007413AE" w:rsidRPr="009A73A8">
        <w:rPr>
          <w:rFonts w:hint="cs"/>
          <w:rtl/>
        </w:rPr>
        <w:t xml:space="preserve">ההסדר הקבוע בחוק ההסדרה להסדרים קרובים בדין הישראלי ובדין </w:t>
      </w:r>
      <w:r w:rsidR="00590545" w:rsidRPr="009A73A8">
        <w:rPr>
          <w:rFonts w:hint="cs"/>
          <w:rtl/>
        </w:rPr>
        <w:t>ה</w:t>
      </w:r>
      <w:r w:rsidR="007413AE" w:rsidRPr="009A73A8">
        <w:rPr>
          <w:rFonts w:hint="cs"/>
          <w:rtl/>
        </w:rPr>
        <w:t xml:space="preserve">אזור </w:t>
      </w:r>
      <w:r w:rsidR="00D35AB7" w:rsidRPr="009A73A8">
        <w:rPr>
          <w:rFonts w:hint="cs"/>
          <w:rtl/>
        </w:rPr>
        <w:t>ובהם</w:t>
      </w:r>
      <w:r w:rsidR="009C272D" w:rsidRPr="009A73A8">
        <w:rPr>
          <w:rFonts w:hint="cs"/>
          <w:rtl/>
        </w:rPr>
        <w:t xml:space="preserve"> </w:t>
      </w:r>
      <w:r w:rsidR="00590545" w:rsidRPr="009A73A8">
        <w:rPr>
          <w:rFonts w:hint="cs"/>
          <w:rtl/>
        </w:rPr>
        <w:t xml:space="preserve">דיני </w:t>
      </w:r>
      <w:r w:rsidR="00D35AB7" w:rsidRPr="009A73A8">
        <w:rPr>
          <w:rFonts w:hint="cs"/>
          <w:rtl/>
        </w:rPr>
        <w:t>תקנת השוק במקרקעין ו</w:t>
      </w:r>
      <w:r w:rsidR="0028282D" w:rsidRPr="009A73A8">
        <w:rPr>
          <w:rFonts w:hint="cs"/>
          <w:rtl/>
        </w:rPr>
        <w:t>דיני ה</w:t>
      </w:r>
      <w:r w:rsidR="00D35AB7" w:rsidRPr="009A73A8">
        <w:rPr>
          <w:rFonts w:hint="cs"/>
          <w:rtl/>
        </w:rPr>
        <w:t xml:space="preserve">נטילה </w:t>
      </w:r>
      <w:r w:rsidR="0028282D" w:rsidRPr="009A73A8">
        <w:rPr>
          <w:rFonts w:hint="cs"/>
          <w:rtl/>
        </w:rPr>
        <w:t>ה</w:t>
      </w:r>
      <w:r w:rsidR="00D35AB7" w:rsidRPr="009A73A8">
        <w:rPr>
          <w:rFonts w:hint="cs"/>
          <w:rtl/>
        </w:rPr>
        <w:t>שלטונית</w:t>
      </w:r>
      <w:r w:rsidR="0028282D" w:rsidRPr="009A73A8">
        <w:rPr>
          <w:rFonts w:hint="cs"/>
          <w:rtl/>
        </w:rPr>
        <w:t xml:space="preserve"> (הפקעה)</w:t>
      </w:r>
      <w:r w:rsidR="00D35AB7" w:rsidRPr="009A73A8">
        <w:rPr>
          <w:rFonts w:hint="cs"/>
          <w:rtl/>
        </w:rPr>
        <w:t xml:space="preserve"> </w:t>
      </w:r>
      <w:r w:rsidR="00067DB9" w:rsidRPr="009A73A8">
        <w:rPr>
          <w:rtl/>
        </w:rPr>
        <w:t>–</w:t>
      </w:r>
      <w:r w:rsidR="00D35AB7" w:rsidRPr="009A73A8">
        <w:rPr>
          <w:rFonts w:hint="cs"/>
          <w:rtl/>
        </w:rPr>
        <w:t xml:space="preserve"> </w:t>
      </w:r>
      <w:r w:rsidR="009C272D" w:rsidRPr="009A73A8">
        <w:rPr>
          <w:rFonts w:hint="cs"/>
          <w:rtl/>
        </w:rPr>
        <w:t xml:space="preserve">המגלמים </w:t>
      </w:r>
      <w:r w:rsidR="007413AE" w:rsidRPr="009A73A8">
        <w:rPr>
          <w:rFonts w:hint="cs"/>
          <w:rtl/>
        </w:rPr>
        <w:t xml:space="preserve">ככלל איזון בין הפגיעה בקניינו של אדם ובין </w:t>
      </w:r>
      <w:r w:rsidR="00133155" w:rsidRPr="009A73A8">
        <w:rPr>
          <w:rFonts w:hint="cs"/>
          <w:rtl/>
        </w:rPr>
        <w:t>ה</w:t>
      </w:r>
      <w:r w:rsidR="007413AE" w:rsidRPr="009A73A8">
        <w:rPr>
          <w:rFonts w:hint="cs"/>
          <w:rtl/>
        </w:rPr>
        <w:t xml:space="preserve">אינטרסים </w:t>
      </w:r>
      <w:r w:rsidR="00133155" w:rsidRPr="009A73A8">
        <w:rPr>
          <w:rFonts w:hint="cs"/>
          <w:rtl/>
        </w:rPr>
        <w:t>ה</w:t>
      </w:r>
      <w:r w:rsidR="007413AE" w:rsidRPr="009A73A8">
        <w:rPr>
          <w:rFonts w:hint="cs"/>
          <w:rtl/>
        </w:rPr>
        <w:t xml:space="preserve">ציבוריים הצריכים לעניין. בית המשפט עמד על כך שהמשותף להסדרים אלו כולם הוא העובדה שהם </w:t>
      </w:r>
      <w:r w:rsidR="007413AE" w:rsidRPr="009A73A8">
        <w:rPr>
          <w:rFonts w:hint="cs"/>
          <w:sz w:val="28"/>
          <w:rtl/>
        </w:rPr>
        <w:t xml:space="preserve">כוללים בחינה פרטנית </w:t>
      </w:r>
      <w:r w:rsidR="00F15F9E" w:rsidRPr="009A73A8">
        <w:rPr>
          <w:rFonts w:hint="cs"/>
          <w:sz w:val="28"/>
          <w:rtl/>
        </w:rPr>
        <w:t>של כל מקרה ומקרה בתנאים מוגדרים</w:t>
      </w:r>
      <w:r w:rsidR="00067DB9" w:rsidRPr="009A73A8">
        <w:rPr>
          <w:rFonts w:hint="cs"/>
          <w:sz w:val="28"/>
          <w:rtl/>
        </w:rPr>
        <w:t xml:space="preserve">, </w:t>
      </w:r>
      <w:r w:rsidR="00B67775" w:rsidRPr="009A73A8">
        <w:rPr>
          <w:rFonts w:hint="cs"/>
          <w:sz w:val="28"/>
          <w:rtl/>
        </w:rPr>
        <w:t>וקובעים</w:t>
      </w:r>
      <w:r w:rsidR="00067DB9" w:rsidRPr="009A73A8">
        <w:rPr>
          <w:rFonts w:hint="cs"/>
          <w:sz w:val="28"/>
          <w:rtl/>
        </w:rPr>
        <w:t xml:space="preserve"> </w:t>
      </w:r>
      <w:r w:rsidR="00B67775" w:rsidRPr="009A73A8">
        <w:rPr>
          <w:rFonts w:hint="cs"/>
          <w:sz w:val="28"/>
          <w:rtl/>
        </w:rPr>
        <w:t xml:space="preserve">את אופן </w:t>
      </w:r>
      <w:r w:rsidR="00067DB9" w:rsidRPr="009A73A8">
        <w:rPr>
          <w:rFonts w:hint="cs"/>
          <w:sz w:val="28"/>
          <w:rtl/>
        </w:rPr>
        <w:t xml:space="preserve">הפיצוי </w:t>
      </w:r>
      <w:r w:rsidR="00B67775" w:rsidRPr="009A73A8">
        <w:rPr>
          <w:rFonts w:hint="cs"/>
          <w:sz w:val="28"/>
          <w:rtl/>
        </w:rPr>
        <w:t>ה</w:t>
      </w:r>
      <w:r w:rsidR="00067DB9" w:rsidRPr="009A73A8">
        <w:rPr>
          <w:rFonts w:hint="cs"/>
          <w:sz w:val="28"/>
          <w:rtl/>
        </w:rPr>
        <w:t>משתנה ממקרה למקרה</w:t>
      </w:r>
      <w:r w:rsidR="0042424B" w:rsidRPr="009A73A8">
        <w:rPr>
          <w:rFonts w:hint="cs"/>
          <w:sz w:val="28"/>
          <w:rtl/>
        </w:rPr>
        <w:t>.</w:t>
      </w:r>
      <w:r w:rsidR="007413AE" w:rsidRPr="009A73A8">
        <w:rPr>
          <w:rFonts w:hint="cs"/>
          <w:sz w:val="28"/>
          <w:rtl/>
        </w:rPr>
        <w:t xml:space="preserve"> </w:t>
      </w:r>
    </w:p>
    <w:p w:rsidR="00B67775" w:rsidRPr="009A73A8" w:rsidRDefault="00B67775" w:rsidP="00B67775">
      <w:pPr>
        <w:pStyle w:val="Ruller4"/>
        <w:numPr>
          <w:ilvl w:val="0"/>
          <w:numId w:val="0"/>
        </w:numPr>
        <w:tabs>
          <w:tab w:val="num" w:pos="10307"/>
        </w:tabs>
        <w:spacing w:line="360" w:lineRule="auto"/>
        <w:textAlignment w:val="baseline"/>
        <w:rPr>
          <w:sz w:val="28"/>
          <w:rtl/>
        </w:rPr>
      </w:pPr>
    </w:p>
    <w:p w:rsidR="00067DB9" w:rsidRPr="009A73A8" w:rsidRDefault="007413AE" w:rsidP="00B67775">
      <w:pPr>
        <w:pStyle w:val="Ruller4"/>
        <w:numPr>
          <w:ilvl w:val="0"/>
          <w:numId w:val="0"/>
        </w:numPr>
        <w:tabs>
          <w:tab w:val="num" w:pos="10307"/>
        </w:tabs>
        <w:spacing w:line="360" w:lineRule="auto"/>
        <w:textAlignment w:val="baseline"/>
        <w:rPr>
          <w:rtl/>
        </w:rPr>
      </w:pPr>
      <w:r w:rsidRPr="009A73A8">
        <w:rPr>
          <w:rFonts w:hint="cs"/>
          <w:sz w:val="28"/>
          <w:rtl/>
        </w:rPr>
        <w:t>בחינה כזו</w:t>
      </w:r>
      <w:r w:rsidR="00F93C7C" w:rsidRPr="009A73A8">
        <w:rPr>
          <w:rFonts w:hint="cs"/>
          <w:sz w:val="28"/>
          <w:rtl/>
        </w:rPr>
        <w:t>, כך נקבע,</w:t>
      </w:r>
      <w:r w:rsidRPr="009A73A8">
        <w:rPr>
          <w:rFonts w:hint="cs"/>
          <w:sz w:val="28"/>
          <w:rtl/>
        </w:rPr>
        <w:t xml:space="preserve"> נעדרת לחלוטין מחוק ההסדרה, </w:t>
      </w:r>
      <w:r w:rsidR="00F15F9E" w:rsidRPr="009A73A8">
        <w:rPr>
          <w:rFonts w:ascii="Century" w:hAnsi="Century" w:hint="cs"/>
          <w:sz w:val="22"/>
          <w:rtl/>
        </w:rPr>
        <w:t>שהוא הסדר גורף, המתייחס באופן קולקטיבי להתיישבות כולה</w:t>
      </w:r>
      <w:r w:rsidR="00067DB9" w:rsidRPr="009A73A8">
        <w:rPr>
          <w:rFonts w:hint="cs"/>
          <w:sz w:val="28"/>
          <w:rtl/>
        </w:rPr>
        <w:t xml:space="preserve"> מבלי להבחין בין הפרטים המרכיבים את ההתיישבות, מידת השקעתם בבניה, מידת הסתמכותם על מצגי הרשויות המוסמכות, </w:t>
      </w:r>
      <w:r w:rsidR="00B67775" w:rsidRPr="009A73A8">
        <w:rPr>
          <w:rFonts w:hint="cs"/>
          <w:sz w:val="28"/>
          <w:rtl/>
        </w:rPr>
        <w:t xml:space="preserve">מועד הבנייה, </w:t>
      </w:r>
      <w:r w:rsidR="00067DB9" w:rsidRPr="009A73A8">
        <w:rPr>
          <w:rFonts w:hint="cs"/>
          <w:sz w:val="28"/>
          <w:rtl/>
        </w:rPr>
        <w:t>מידת אי החוקיות הגלומה בבנייה ושיקולים חשובים נוספים</w:t>
      </w:r>
      <w:r w:rsidRPr="009A73A8">
        <w:rPr>
          <w:rFonts w:hint="cs"/>
          <w:sz w:val="28"/>
          <w:rtl/>
        </w:rPr>
        <w:t xml:space="preserve">. </w:t>
      </w:r>
      <w:r w:rsidR="00067DB9" w:rsidRPr="009A73A8">
        <w:rPr>
          <w:rFonts w:hint="cs"/>
          <w:sz w:val="28"/>
          <w:rtl/>
        </w:rPr>
        <w:t>החוק אף קובע הקניית זכויות אוטומטית</w:t>
      </w:r>
      <w:r w:rsidR="00E33352" w:rsidRPr="009A73A8">
        <w:rPr>
          <w:rFonts w:hint="cs"/>
          <w:sz w:val="28"/>
          <w:rtl/>
        </w:rPr>
        <w:t>,</w:t>
      </w:r>
      <w:r w:rsidR="00067DB9" w:rsidRPr="009A73A8">
        <w:rPr>
          <w:rFonts w:hint="cs"/>
          <w:sz w:val="28"/>
          <w:rtl/>
        </w:rPr>
        <w:t xml:space="preserve"> והוא אינו כולל מנגנון להעלאת טענות </w:t>
      </w:r>
      <w:r w:rsidR="00B67775" w:rsidRPr="009A73A8">
        <w:rPr>
          <w:rFonts w:hint="cs"/>
          <w:sz w:val="28"/>
          <w:rtl/>
        </w:rPr>
        <w:t>ש</w:t>
      </w:r>
      <w:r w:rsidR="00067DB9" w:rsidRPr="009A73A8">
        <w:rPr>
          <w:rFonts w:hint="cs"/>
          <w:sz w:val="28"/>
          <w:rtl/>
        </w:rPr>
        <w:t xml:space="preserve">כנגד או חריגים המאפשרים להוציא מקרים מסוימים מתחולתו. </w:t>
      </w:r>
    </w:p>
    <w:p w:rsidR="00B6654B" w:rsidRPr="009A73A8" w:rsidRDefault="00B6654B" w:rsidP="00067DB9">
      <w:pPr>
        <w:pStyle w:val="Ruller4"/>
        <w:numPr>
          <w:ilvl w:val="0"/>
          <w:numId w:val="0"/>
        </w:numPr>
        <w:tabs>
          <w:tab w:val="num" w:pos="10307"/>
        </w:tabs>
        <w:spacing w:line="360" w:lineRule="auto"/>
        <w:textAlignment w:val="baseline"/>
        <w:rPr>
          <w:rFonts w:asciiTheme="minorHAnsi" w:eastAsiaTheme="minorHAnsi" w:hAnsiTheme="minorHAnsi" w:cstheme="minorBidi"/>
          <w:sz w:val="22"/>
          <w:szCs w:val="22"/>
          <w:rtl/>
        </w:rPr>
      </w:pPr>
    </w:p>
    <w:p w:rsidR="009C272D" w:rsidRPr="009A73A8" w:rsidRDefault="00B6654B" w:rsidP="00565F58">
      <w:pPr>
        <w:pStyle w:val="Ruller4"/>
        <w:numPr>
          <w:ilvl w:val="0"/>
          <w:numId w:val="0"/>
        </w:numPr>
        <w:tabs>
          <w:tab w:val="num" w:pos="10307"/>
        </w:tabs>
        <w:spacing w:line="360" w:lineRule="auto"/>
        <w:textAlignment w:val="baseline"/>
        <w:rPr>
          <w:rtl/>
        </w:rPr>
      </w:pPr>
      <w:r w:rsidRPr="009A73A8">
        <w:rPr>
          <w:rFonts w:hint="cs"/>
          <w:rtl/>
        </w:rPr>
        <w:t xml:space="preserve">בנסיבות אלה הגיע בית המשפט למסקנה כי הפגיעה הנגרמת לזכויות היא חמורה ומובהקת וכי אין מנוס מן המסקנה שפגיעה זו אינה מידתית ושהנזק הנגרם כתוצאה מן החוק עולה על תועלתו. זאת, </w:t>
      </w:r>
      <w:r w:rsidR="007413AE" w:rsidRPr="009A73A8">
        <w:rPr>
          <w:rFonts w:hint="cs"/>
          <w:rtl/>
        </w:rPr>
        <w:lastRenderedPageBreak/>
        <w:t xml:space="preserve">ביחוד נוכח קיומם של אמצעים חלופיים </w:t>
      </w:r>
      <w:r w:rsidR="0042424B" w:rsidRPr="009A73A8">
        <w:rPr>
          <w:rFonts w:hint="cs"/>
          <w:rtl/>
        </w:rPr>
        <w:t>בדין העשויים ליתן מענה לתכלית הראויה שביסוד חוק ההסדרה, תוך פגיעה פחותה בזכות הקניין ובזכות לשוויו</w:t>
      </w:r>
      <w:r w:rsidR="009C272D" w:rsidRPr="009A73A8">
        <w:rPr>
          <w:rFonts w:hint="cs"/>
          <w:rtl/>
        </w:rPr>
        <w:t>ן</w:t>
      </w:r>
      <w:r w:rsidR="003461C6" w:rsidRPr="009A73A8">
        <w:rPr>
          <w:rFonts w:hint="cs"/>
          <w:rtl/>
        </w:rPr>
        <w:t xml:space="preserve"> וזאת בחלק לא מבוטל מן המקרים.</w:t>
      </w:r>
    </w:p>
    <w:p w:rsidR="009C272D" w:rsidRPr="009A73A8" w:rsidRDefault="009C272D" w:rsidP="00E645AA">
      <w:pPr>
        <w:pStyle w:val="Ruller4"/>
        <w:numPr>
          <w:ilvl w:val="0"/>
          <w:numId w:val="0"/>
        </w:numPr>
        <w:tabs>
          <w:tab w:val="num" w:pos="10307"/>
        </w:tabs>
        <w:spacing w:line="360" w:lineRule="auto"/>
        <w:textAlignment w:val="baseline"/>
        <w:rPr>
          <w:rtl/>
        </w:rPr>
      </w:pPr>
    </w:p>
    <w:p w:rsidR="009C272D" w:rsidRPr="009A73A8" w:rsidRDefault="00B67775" w:rsidP="00B67775">
      <w:pPr>
        <w:pStyle w:val="Ruller4"/>
        <w:numPr>
          <w:ilvl w:val="0"/>
          <w:numId w:val="0"/>
        </w:numPr>
        <w:tabs>
          <w:tab w:val="num" w:pos="10307"/>
        </w:tabs>
        <w:spacing w:line="360" w:lineRule="auto"/>
        <w:textAlignment w:val="baseline"/>
        <w:rPr>
          <w:rtl/>
        </w:rPr>
      </w:pPr>
      <w:r w:rsidRPr="009A73A8">
        <w:rPr>
          <w:rFonts w:hint="cs"/>
          <w:rtl/>
        </w:rPr>
        <w:t xml:space="preserve">מטעמים אלה שתמציתם הובאה לעיל, קיבל </w:t>
      </w:r>
      <w:r w:rsidR="009C272D" w:rsidRPr="009A73A8">
        <w:rPr>
          <w:rFonts w:hint="cs"/>
          <w:rtl/>
        </w:rPr>
        <w:t>בית המשפט העליון</w:t>
      </w:r>
      <w:r w:rsidRPr="009A73A8">
        <w:rPr>
          <w:rFonts w:hint="cs"/>
          <w:rtl/>
        </w:rPr>
        <w:t xml:space="preserve"> את עמדת היועץ המשפטי לממשלה וקבע כי</w:t>
      </w:r>
      <w:r w:rsidR="009C272D" w:rsidRPr="009A73A8">
        <w:rPr>
          <w:rFonts w:hint="cs"/>
          <w:rtl/>
        </w:rPr>
        <w:t xml:space="preserve"> חוק ההסדרה</w:t>
      </w:r>
      <w:r w:rsidRPr="009A73A8">
        <w:rPr>
          <w:rFonts w:hint="cs"/>
          <w:rtl/>
        </w:rPr>
        <w:t xml:space="preserve"> אינו חוקתי ודינו בטלות. </w:t>
      </w:r>
    </w:p>
    <w:p w:rsidR="00996900" w:rsidRPr="009A73A8" w:rsidRDefault="00996900" w:rsidP="00996900">
      <w:pPr>
        <w:pStyle w:val="Ruller4"/>
        <w:numPr>
          <w:ilvl w:val="0"/>
          <w:numId w:val="0"/>
        </w:numPr>
        <w:tabs>
          <w:tab w:val="num" w:pos="10307"/>
        </w:tabs>
        <w:spacing w:line="360" w:lineRule="auto"/>
        <w:textAlignment w:val="baseline"/>
        <w:rPr>
          <w:rtl/>
        </w:rPr>
      </w:pPr>
    </w:p>
    <w:p w:rsidR="004E094B" w:rsidRPr="009A73A8" w:rsidRDefault="001C7259" w:rsidP="00565F58">
      <w:pPr>
        <w:pStyle w:val="Ruller4"/>
        <w:numPr>
          <w:ilvl w:val="0"/>
          <w:numId w:val="0"/>
        </w:numPr>
        <w:tabs>
          <w:tab w:val="num" w:pos="10307"/>
        </w:tabs>
        <w:spacing w:line="360" w:lineRule="auto"/>
        <w:textAlignment w:val="baseline"/>
        <w:rPr>
          <w:rFonts w:ascii="David" w:hAnsi="David"/>
          <w:rtl/>
        </w:rPr>
      </w:pPr>
      <w:r w:rsidRPr="009A73A8">
        <w:rPr>
          <w:rFonts w:ascii="David" w:hAnsi="David" w:hint="cs"/>
          <w:rtl/>
        </w:rPr>
        <w:t xml:space="preserve">השופט נ' סולברג, בדעת מיעוט, </w:t>
      </w:r>
      <w:r w:rsidR="009C272D" w:rsidRPr="009A73A8">
        <w:rPr>
          <w:rFonts w:ascii="David" w:hAnsi="David" w:hint="cs"/>
          <w:rtl/>
        </w:rPr>
        <w:t xml:space="preserve">סבר </w:t>
      </w:r>
      <w:r w:rsidRPr="009A73A8">
        <w:rPr>
          <w:rFonts w:ascii="David" w:hAnsi="David" w:hint="cs"/>
          <w:rtl/>
        </w:rPr>
        <w:t xml:space="preserve">כי </w:t>
      </w:r>
      <w:r w:rsidR="00592C2A" w:rsidRPr="009A73A8">
        <w:rPr>
          <w:rFonts w:ascii="David" w:hAnsi="David" w:hint="cs"/>
          <w:rtl/>
        </w:rPr>
        <w:t>חוק ההסדרה מבקש להציב פתרון לא שגרתי לבעיה קשה ולא שגרתית</w:t>
      </w:r>
      <w:r w:rsidR="00AC47DC" w:rsidRPr="009A73A8">
        <w:rPr>
          <w:rFonts w:ascii="David" w:hAnsi="David" w:hint="cs"/>
          <w:rtl/>
        </w:rPr>
        <w:t>,</w:t>
      </w:r>
      <w:r w:rsidR="00B63893" w:rsidRPr="009A73A8">
        <w:rPr>
          <w:rFonts w:ascii="David" w:hAnsi="David" w:hint="cs"/>
          <w:rtl/>
        </w:rPr>
        <w:t xml:space="preserve"> ומשכך </w:t>
      </w:r>
      <w:r w:rsidR="00592C2A" w:rsidRPr="009A73A8">
        <w:rPr>
          <w:rFonts w:ascii="David" w:hAnsi="David" w:hint="cs"/>
          <w:rtl/>
        </w:rPr>
        <w:t xml:space="preserve">לא ניתן לבחון אותו בכלים המשפטיים הרגילים המצויים בידינו. </w:t>
      </w:r>
      <w:r w:rsidR="009C272D" w:rsidRPr="009A73A8">
        <w:rPr>
          <w:rFonts w:ascii="David" w:hAnsi="David" w:hint="cs"/>
          <w:rtl/>
        </w:rPr>
        <w:t>לגישתו</w:t>
      </w:r>
      <w:r w:rsidR="00AC47DC" w:rsidRPr="009A73A8">
        <w:rPr>
          <w:rFonts w:ascii="David" w:hAnsi="David" w:hint="cs"/>
          <w:rtl/>
        </w:rPr>
        <w:t>,</w:t>
      </w:r>
      <w:r w:rsidR="009C272D" w:rsidRPr="009A73A8">
        <w:rPr>
          <w:rFonts w:ascii="David" w:hAnsi="David" w:hint="cs"/>
          <w:rtl/>
        </w:rPr>
        <w:t xml:space="preserve"> </w:t>
      </w:r>
      <w:r w:rsidR="00EC688B" w:rsidRPr="009A73A8">
        <w:rPr>
          <w:rFonts w:ascii="David" w:hAnsi="David" w:hint="cs"/>
          <w:rtl/>
        </w:rPr>
        <w:t xml:space="preserve">חוק ההסדרה אכן פוגע בזכות </w:t>
      </w:r>
      <w:r w:rsidR="000334CC" w:rsidRPr="009A73A8">
        <w:rPr>
          <w:rFonts w:ascii="David" w:hAnsi="David" w:hint="cs"/>
          <w:rtl/>
        </w:rPr>
        <w:t xml:space="preserve">החוקתית </w:t>
      </w:r>
      <w:r w:rsidR="00EC688B" w:rsidRPr="009A73A8">
        <w:rPr>
          <w:rFonts w:ascii="David" w:hAnsi="David" w:hint="cs"/>
          <w:rtl/>
        </w:rPr>
        <w:t xml:space="preserve">לקניין ובזכות </w:t>
      </w:r>
      <w:r w:rsidR="000334CC" w:rsidRPr="009A73A8">
        <w:rPr>
          <w:rFonts w:ascii="David" w:hAnsi="David" w:hint="cs"/>
          <w:rtl/>
        </w:rPr>
        <w:t>החוקתית לשוויון, ואולם התכלי</w:t>
      </w:r>
      <w:r w:rsidR="009C272D" w:rsidRPr="009A73A8">
        <w:rPr>
          <w:rFonts w:ascii="David" w:hAnsi="David" w:hint="cs"/>
          <w:rtl/>
        </w:rPr>
        <w:t>ו</w:t>
      </w:r>
      <w:r w:rsidR="000334CC" w:rsidRPr="009A73A8">
        <w:rPr>
          <w:rFonts w:ascii="David" w:hAnsi="David" w:hint="cs"/>
          <w:rtl/>
        </w:rPr>
        <w:t xml:space="preserve">ת </w:t>
      </w:r>
      <w:r w:rsidR="00B63893" w:rsidRPr="009A73A8">
        <w:rPr>
          <w:rFonts w:ascii="David" w:hAnsi="David" w:hint="cs"/>
          <w:rtl/>
        </w:rPr>
        <w:t xml:space="preserve">שביסודו </w:t>
      </w:r>
      <w:r w:rsidR="00B63893" w:rsidRPr="009A73A8">
        <w:rPr>
          <w:rFonts w:ascii="David" w:hAnsi="David"/>
          <w:rtl/>
        </w:rPr>
        <w:t>–</w:t>
      </w:r>
      <w:r w:rsidR="00B63893" w:rsidRPr="009A73A8">
        <w:rPr>
          <w:rFonts w:ascii="David" w:hAnsi="David" w:hint="cs"/>
          <w:rtl/>
        </w:rPr>
        <w:t xml:space="preserve"> </w:t>
      </w:r>
      <w:r w:rsidR="000334CC" w:rsidRPr="009A73A8">
        <w:rPr>
          <w:rFonts w:ascii="David" w:hAnsi="David" w:hint="cs"/>
          <w:rtl/>
        </w:rPr>
        <w:t xml:space="preserve">הסדרת, ביסוס ופיתוח ההתיישבות ביהודה ושומרון </w:t>
      </w:r>
      <w:r w:rsidR="00B63893" w:rsidRPr="009A73A8">
        <w:rPr>
          <w:rFonts w:ascii="David" w:hAnsi="David" w:hint="cs"/>
          <w:rtl/>
        </w:rPr>
        <w:t>ו</w:t>
      </w:r>
      <w:r w:rsidR="000334CC" w:rsidRPr="009A73A8">
        <w:rPr>
          <w:rFonts w:ascii="David" w:hAnsi="David" w:hint="cs"/>
          <w:rtl/>
        </w:rPr>
        <w:t>מתן מענה למתיישבים שבנו את בתיהם באזור בתום לב</w:t>
      </w:r>
      <w:r w:rsidR="00B63893" w:rsidRPr="009A73A8">
        <w:rPr>
          <w:rFonts w:ascii="David" w:hAnsi="David" w:hint="cs"/>
          <w:rtl/>
        </w:rPr>
        <w:t xml:space="preserve"> </w:t>
      </w:r>
      <w:r w:rsidR="00B63893" w:rsidRPr="009A73A8">
        <w:rPr>
          <w:rFonts w:ascii="David" w:hAnsi="David"/>
          <w:rtl/>
        </w:rPr>
        <w:t>–</w:t>
      </w:r>
      <w:r w:rsidR="00B63893" w:rsidRPr="009A73A8">
        <w:rPr>
          <w:rFonts w:ascii="David" w:hAnsi="David" w:hint="cs"/>
          <w:rtl/>
        </w:rPr>
        <w:t xml:space="preserve"> </w:t>
      </w:r>
      <w:r w:rsidR="000334CC" w:rsidRPr="009A73A8">
        <w:rPr>
          <w:rFonts w:ascii="David" w:hAnsi="David" w:hint="cs"/>
          <w:rtl/>
        </w:rPr>
        <w:t>הן תכליות ראויות.</w:t>
      </w:r>
      <w:r w:rsidR="00634B32" w:rsidRPr="009A73A8">
        <w:rPr>
          <w:rFonts w:ascii="David" w:hAnsi="David" w:hint="cs"/>
          <w:rtl/>
        </w:rPr>
        <w:t xml:space="preserve"> הביקורת השיפוטית צריכה להיעשות על רקע המציאות המורכבת מבחינה עובדתית ומשפטית, שהביאה לחקיקתו של חוק ההסדרה, מורכבות שאינה מאפיינת מצבים "רגילים" של הסדרת בניה בלתי-חוקית, ויסודה בארבעה נדבכים מרכזיים: מעורבות עמוקה וארוכת שנים של רשויות השלטון בבנייה; אופייה הפוליטי-מדיני של הסוגיה; "כשל" מו</w:t>
      </w:r>
      <w:r w:rsidR="006747BC">
        <w:rPr>
          <w:rFonts w:ascii="David" w:hAnsi="David" w:hint="cs"/>
          <w:rtl/>
        </w:rPr>
        <w:t>בנה בשוק הקרקעות ביהודה ושומרון</w:t>
      </w:r>
      <w:r w:rsidR="00634B32" w:rsidRPr="009A73A8">
        <w:rPr>
          <w:rFonts w:ascii="David" w:hAnsi="David" w:hint="cs"/>
          <w:rtl/>
        </w:rPr>
        <w:t xml:space="preserve"> בשל איסור על מכירת קרקעות ליהודים; ותוצאות עבודתו של "צוות קו כחול". את חוקתיותו של חוק ההסדרה יש לבחון בהתחשב בארבעת הנדבכים הללו. אשר לאיזון שבין התועלת הצומחת מהגשמת תכליותיו של חוק ההסדרה, לבין הנזק הנגרם בשל כך לזכויות חוקתיות, סבור השופט סולברג כי חוק ההסדר</w:t>
      </w:r>
      <w:r w:rsidR="00CF2430" w:rsidRPr="009A73A8">
        <w:rPr>
          <w:rFonts w:ascii="David" w:hAnsi="David" w:hint="cs"/>
          <w:rtl/>
        </w:rPr>
        <w:t>ה</w:t>
      </w:r>
      <w:r w:rsidR="00634B32" w:rsidRPr="009A73A8">
        <w:rPr>
          <w:rFonts w:ascii="David" w:hAnsi="David" w:hint="cs"/>
          <w:rtl/>
        </w:rPr>
        <w:t xml:space="preserve"> מבטא איזון ראוי: פגיעתו של החוק בזכות הקניין מובהקת, אך במצבים רבים שבהם מדבר החוק, פגיעה זו </w:t>
      </w:r>
      <w:r w:rsidR="004E094B" w:rsidRPr="009A73A8">
        <w:rPr>
          <w:rFonts w:ascii="David" w:hAnsi="David" w:hint="cs"/>
          <w:rtl/>
        </w:rPr>
        <w:t>אינה חמורה במיוחד, וזאת בהתחשב גם באמצעים השונים שהמחוקק נקט בהם, במטרה לרכך את הפגיעה בבעלי הקרקעות. חוק ההסדרה סוטה אמנם מן ההסדרים המקובלים בדין ביחס לבנייה על מקרקעי הזולת, אולם נסיבות חריגות עשויות להצדיק צעדים חריגים.</w:t>
      </w:r>
      <w:r w:rsidR="000334CC" w:rsidRPr="009A73A8">
        <w:rPr>
          <w:rFonts w:ascii="David" w:hAnsi="David" w:hint="cs"/>
          <w:rtl/>
        </w:rPr>
        <w:t xml:space="preserve"> </w:t>
      </w:r>
    </w:p>
    <w:p w:rsidR="004E094B" w:rsidRPr="009A73A8" w:rsidRDefault="004E094B" w:rsidP="00565F58">
      <w:pPr>
        <w:pStyle w:val="Ruller4"/>
        <w:numPr>
          <w:ilvl w:val="0"/>
          <w:numId w:val="0"/>
        </w:numPr>
        <w:tabs>
          <w:tab w:val="num" w:pos="10307"/>
        </w:tabs>
        <w:spacing w:line="360" w:lineRule="auto"/>
        <w:textAlignment w:val="baseline"/>
        <w:rPr>
          <w:rFonts w:ascii="David" w:hAnsi="David"/>
          <w:rtl/>
        </w:rPr>
      </w:pPr>
    </w:p>
    <w:p w:rsidR="00D25AE0" w:rsidRDefault="009C272D" w:rsidP="00D22350">
      <w:pPr>
        <w:pStyle w:val="Ruller4"/>
        <w:numPr>
          <w:ilvl w:val="0"/>
          <w:numId w:val="0"/>
        </w:numPr>
        <w:tabs>
          <w:tab w:val="num" w:pos="10307"/>
        </w:tabs>
        <w:spacing w:line="360" w:lineRule="auto"/>
        <w:textAlignment w:val="baseline"/>
        <w:rPr>
          <w:rFonts w:ascii="David" w:hAnsi="David"/>
          <w:rtl/>
        </w:rPr>
      </w:pPr>
      <w:r w:rsidRPr="006D4E1F">
        <w:rPr>
          <w:rFonts w:ascii="David" w:hAnsi="David" w:hint="cs"/>
          <w:rtl/>
        </w:rPr>
        <w:t xml:space="preserve">לעמדת </w:t>
      </w:r>
      <w:r w:rsidR="000334CC" w:rsidRPr="006D4E1F">
        <w:rPr>
          <w:rFonts w:ascii="David" w:hAnsi="David" w:hint="cs"/>
          <w:rtl/>
        </w:rPr>
        <w:t xml:space="preserve">השופט סולברג, </w:t>
      </w:r>
      <w:r w:rsidR="006A0EFA" w:rsidRPr="006D4E1F">
        <w:rPr>
          <w:rFonts w:ascii="David" w:hAnsi="David" w:hint="cs"/>
          <w:rtl/>
        </w:rPr>
        <w:t xml:space="preserve">תחולתו הגורפת של חוק ההסדרה נעוצה בסעיף ההגדרות שבו, אך זאת ניתן לתקן באמצעות צמצום ההגדרות. </w:t>
      </w:r>
      <w:r w:rsidR="00D22350">
        <w:rPr>
          <w:rFonts w:ascii="David" w:hAnsi="David" w:hint="cs"/>
          <w:rtl/>
        </w:rPr>
        <w:t xml:space="preserve">השופט סולברג ציין כי </w:t>
      </w:r>
      <w:r w:rsidR="00EF566F" w:rsidRPr="006D4E1F">
        <w:rPr>
          <w:rFonts w:ascii="David" w:hAnsi="David" w:hint="cs"/>
          <w:rtl/>
        </w:rPr>
        <w:t>בצד בקשתה לאמץ את עמדת הממשלה ולדחות את העתירות, ביקשה הכנסת, למיצער, לשרטט קווים מנחים לתיקון החו</w:t>
      </w:r>
      <w:r w:rsidR="006D4E1F" w:rsidRPr="006D4E1F">
        <w:rPr>
          <w:rFonts w:ascii="David" w:hAnsi="David" w:hint="cs"/>
          <w:rtl/>
        </w:rPr>
        <w:t>ק</w:t>
      </w:r>
      <w:r w:rsidR="00EF566F" w:rsidRPr="006D4E1F">
        <w:rPr>
          <w:rFonts w:ascii="David" w:hAnsi="David" w:hint="cs"/>
          <w:rtl/>
        </w:rPr>
        <w:t xml:space="preserve"> כדי שיעמוד בביקורת השיפוטית. </w:t>
      </w:r>
      <w:r w:rsidR="006A0EFA" w:rsidRPr="006D4E1F">
        <w:rPr>
          <w:rFonts w:ascii="David" w:hAnsi="David" w:hint="cs"/>
          <w:rtl/>
        </w:rPr>
        <w:t xml:space="preserve">לפיכך, הציע השופט סולברג לצמצם את הגדרת המונח "התיישבות" כך שלא יכלול שטחים חקלאיים ושטחי ייצור, שפינויים אינו דומה לפינוי בית מגורים, וכן הציע לצמצם את הגדרת המונח "מדינה" למוסדות השלטון המרכזי </w:t>
      </w:r>
      <w:r w:rsidR="00565F58" w:rsidRPr="006D4E1F">
        <w:rPr>
          <w:rFonts w:ascii="David" w:hAnsi="David" w:hint="cs"/>
          <w:rtl/>
        </w:rPr>
        <w:t>בלבד ולא לכלול בהגדרה את מוסדות השלטון המקומי ואת הגופים המיישבים</w:t>
      </w:r>
      <w:r w:rsidR="006A0EFA" w:rsidRPr="006D4E1F">
        <w:rPr>
          <w:rFonts w:ascii="David" w:hAnsi="David" w:hint="cs"/>
          <w:rtl/>
        </w:rPr>
        <w:t>.</w:t>
      </w:r>
    </w:p>
    <w:p w:rsidR="00A62FC2" w:rsidRPr="008B4F4F" w:rsidRDefault="00A62FC2" w:rsidP="008B4F4F">
      <w:pPr>
        <w:pStyle w:val="Pskdinhead"/>
        <w:jc w:val="both"/>
        <w:rPr>
          <w:rFonts w:ascii="David" w:hAnsi="David"/>
          <w:b w:val="0"/>
          <w:bCs w:val="0"/>
          <w:spacing w:val="10"/>
          <w:sz w:val="24"/>
          <w:u w:val="none"/>
          <w:rtl/>
        </w:rPr>
      </w:pPr>
    </w:p>
    <w:sectPr w:rsidR="00A62FC2" w:rsidRPr="008B4F4F" w:rsidSect="00B14C17">
      <w:headerReference w:type="default" r:id="rId8"/>
      <w:footerReference w:type="default" r:id="rId9"/>
      <w:pgSz w:w="11906" w:h="16838"/>
      <w:pgMar w:top="1440" w:right="1800" w:bottom="1440" w:left="1800" w:header="708" w:footer="708" w:gutter="0"/>
      <w:cols w:space="708"/>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180F0C" w:rsidRDefault="00180F0C" w:rsidP="00C0549E">
      <w:pPr>
        <w:spacing w:after="0" w:line="240" w:lineRule="auto"/>
      </w:pPr>
      <w:r>
        <w:separator/>
      </w:r>
    </w:p>
  </w:endnote>
  <w:endnote w:type="continuationSeparator" w:id="0">
    <w:p w:rsidR="00180F0C" w:rsidRDefault="00180F0C" w:rsidP="00C0549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TUR">
    <w:altName w:val="Arial"/>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Garamond">
    <w:panose1 w:val="02020404030301010803"/>
    <w:charset w:val="00"/>
    <w:family w:val="roman"/>
    <w:pitch w:val="variable"/>
    <w:sig w:usb0="00000287" w:usb1="00000000" w:usb2="00000000" w:usb3="00000000" w:csb0="0000009F" w:csb1="00000000"/>
  </w:font>
  <w:font w:name="David">
    <w:panose1 w:val="020E0502060401010101"/>
    <w:charset w:val="B1"/>
    <w:family w:val="swiss"/>
    <w:pitch w:val="variable"/>
    <w:sig w:usb0="00000803" w:usb1="00000000" w:usb2="00000000" w:usb3="00000000" w:csb0="00000021" w:csb1="00000000"/>
  </w:font>
  <w:font w:name="FrankRuehl">
    <w:panose1 w:val="020E0503060101010101"/>
    <w:charset w:val="B1"/>
    <w:family w:val="swiss"/>
    <w:pitch w:val="variable"/>
    <w:sig w:usb0="00000803" w:usb1="00000000" w:usb2="00000000" w:usb3="00000000" w:csb0="00000021"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entury">
    <w:panose1 w:val="02040604050505020304"/>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tl/>
      </w:rPr>
      <w:id w:val="514351420"/>
      <w:docPartObj>
        <w:docPartGallery w:val="Page Numbers (Bottom of Page)"/>
        <w:docPartUnique/>
      </w:docPartObj>
    </w:sdtPr>
    <w:sdtEndPr>
      <w:rPr>
        <w:cs/>
      </w:rPr>
    </w:sdtEndPr>
    <w:sdtContent>
      <w:p w:rsidR="00BC2AAA" w:rsidRDefault="00BC2AAA">
        <w:pPr>
          <w:pStyle w:val="a5"/>
          <w:jc w:val="center"/>
          <w:rPr>
            <w:rtl/>
          </w:rPr>
        </w:pPr>
        <w:r>
          <w:fldChar w:fldCharType="begin"/>
        </w:r>
        <w:r>
          <w:rPr>
            <w:rtl/>
            <w:cs/>
          </w:rPr>
          <w:instrText>PAGE   \* MERGEFORMAT</w:instrText>
        </w:r>
        <w:r>
          <w:fldChar w:fldCharType="separate"/>
        </w:r>
        <w:r w:rsidR="006346A5" w:rsidRPr="006346A5">
          <w:rPr>
            <w:noProof/>
            <w:rtl/>
            <w:lang w:val="he-IL"/>
          </w:rPr>
          <w:t>1</w:t>
        </w:r>
        <w:r>
          <w:fldChar w:fldCharType="end"/>
        </w:r>
      </w:p>
    </w:sdtContent>
  </w:sdt>
  <w:p w:rsidR="00BC2AAA" w:rsidRDefault="00BC2AAA">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180F0C" w:rsidRDefault="00180F0C" w:rsidP="00C0549E">
      <w:pPr>
        <w:spacing w:after="0" w:line="240" w:lineRule="auto"/>
      </w:pPr>
      <w:r>
        <w:separator/>
      </w:r>
    </w:p>
  </w:footnote>
  <w:footnote w:type="continuationSeparator" w:id="0">
    <w:p w:rsidR="00180F0C" w:rsidRDefault="00180F0C" w:rsidP="00C0549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C0549E" w:rsidRDefault="00C0549E" w:rsidP="00C0549E">
    <w:pPr>
      <w:pStyle w:val="a3"/>
      <w:jc w:val="center"/>
    </w:pPr>
    <w:r w:rsidRPr="0012560F">
      <w:rPr>
        <w:noProof/>
      </w:rPr>
      <w:drawing>
        <wp:inline distT="0" distB="0" distL="0" distR="0">
          <wp:extent cx="526415" cy="621665"/>
          <wp:effectExtent l="0" t="0" r="6985" b="6985"/>
          <wp:docPr id="1" name="תמונה 1" descr="seme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תמונה 1" descr="semel"/>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26415" cy="621665"/>
                  </a:xfrm>
                  <a:prstGeom prst="rect">
                    <a:avLst/>
                  </a:prstGeom>
                  <a:noFill/>
                  <a:ln>
                    <a:noFill/>
                  </a:ln>
                </pic:spPr>
              </pic:pic>
            </a:graphicData>
          </a:graphic>
        </wp:inline>
      </w:drawing>
    </w:r>
  </w:p>
  <w:p w:rsidR="00C0549E" w:rsidRDefault="00C0549E">
    <w:pPr>
      <w:pStyle w:val="a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8A6001B"/>
    <w:multiLevelType w:val="hybridMultilevel"/>
    <w:tmpl w:val="B2C4B5E4"/>
    <w:lvl w:ilvl="0" w:tplc="5F9C772A">
      <w:start w:val="1"/>
      <w:numFmt w:val="decimal"/>
      <w:pStyle w:val="Ruller4"/>
      <w:lvlText w:val="%1."/>
      <w:lvlJc w:val="left"/>
      <w:pPr>
        <w:tabs>
          <w:tab w:val="num" w:pos="907"/>
        </w:tabs>
        <w:ind w:left="0" w:firstLine="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405F4482"/>
    <w:multiLevelType w:val="hybridMultilevel"/>
    <w:tmpl w:val="A84C0436"/>
    <w:lvl w:ilvl="0" w:tplc="2D0EBA6E">
      <w:start w:val="1"/>
      <w:numFmt w:val="hebrew1"/>
      <w:lvlText w:val="(%1)"/>
      <w:lvlJc w:val="left"/>
      <w:pPr>
        <w:ind w:left="720" w:hanging="360"/>
      </w:pPr>
      <w:rPr>
        <w:rFonts w:ascii="Arial TUR" w:hAnsi="Arial TUR"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0"/>
  </w:num>
  <w:num w:numId="3">
    <w:abstractNumId w:val="0"/>
  </w:num>
  <w:num w:numId="4">
    <w:abstractNumId w:val="0"/>
  </w:num>
  <w:num w:numId="5">
    <w:abstractNumId w:val="0"/>
  </w:num>
  <w:num w:numId="6">
    <w:abstractNumId w:val="0"/>
  </w:num>
  <w:num w:numId="7">
    <w:abstractNumId w:val="0"/>
  </w:num>
  <w:num w:numId="8">
    <w:abstractNumId w:val="0"/>
  </w:num>
  <w:num w:numId="9">
    <w:abstractNumId w:val="0"/>
  </w:num>
  <w:num w:numId="10">
    <w:abstractNumId w:val="1"/>
  </w:num>
  <w:num w:numId="11">
    <w:abstractNumId w:val="0"/>
  </w:num>
  <w:num w:numId="12">
    <w:abstractNumId w:val="0"/>
  </w:num>
  <w:num w:numId="1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31"/>
  <w:defaultTabStop w:val="720"/>
  <w:characterSpacingControl w:val="doNotCompress"/>
  <w:hdrShapeDefaults>
    <o:shapedefaults v:ext="edit" spidmax="2662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447FB"/>
    <w:rsid w:val="00016049"/>
    <w:rsid w:val="000334CC"/>
    <w:rsid w:val="00050424"/>
    <w:rsid w:val="00056A3C"/>
    <w:rsid w:val="00063DC3"/>
    <w:rsid w:val="00067DB9"/>
    <w:rsid w:val="0007544A"/>
    <w:rsid w:val="00085285"/>
    <w:rsid w:val="00094F79"/>
    <w:rsid w:val="000A5752"/>
    <w:rsid w:val="000B0916"/>
    <w:rsid w:val="000B311B"/>
    <w:rsid w:val="000B6AEC"/>
    <w:rsid w:val="000C0612"/>
    <w:rsid w:val="000C3286"/>
    <w:rsid w:val="000F38B6"/>
    <w:rsid w:val="00100B9E"/>
    <w:rsid w:val="00115FC6"/>
    <w:rsid w:val="00130B99"/>
    <w:rsid w:val="00133155"/>
    <w:rsid w:val="00145864"/>
    <w:rsid w:val="001613DE"/>
    <w:rsid w:val="00180F0C"/>
    <w:rsid w:val="001B1D69"/>
    <w:rsid w:val="001B490B"/>
    <w:rsid w:val="001C7259"/>
    <w:rsid w:val="001D1FD2"/>
    <w:rsid w:val="001D55F2"/>
    <w:rsid w:val="001E5FE7"/>
    <w:rsid w:val="002558BF"/>
    <w:rsid w:val="00264ED7"/>
    <w:rsid w:val="0027027B"/>
    <w:rsid w:val="0028282D"/>
    <w:rsid w:val="00285C4A"/>
    <w:rsid w:val="002A04AB"/>
    <w:rsid w:val="002E348B"/>
    <w:rsid w:val="00313E69"/>
    <w:rsid w:val="00317523"/>
    <w:rsid w:val="00336C46"/>
    <w:rsid w:val="003447FB"/>
    <w:rsid w:val="003461C6"/>
    <w:rsid w:val="00365592"/>
    <w:rsid w:val="003834B7"/>
    <w:rsid w:val="003922AF"/>
    <w:rsid w:val="003E09DE"/>
    <w:rsid w:val="004147E6"/>
    <w:rsid w:val="0042424B"/>
    <w:rsid w:val="00453278"/>
    <w:rsid w:val="00465148"/>
    <w:rsid w:val="004677A6"/>
    <w:rsid w:val="004A6F7C"/>
    <w:rsid w:val="004E094B"/>
    <w:rsid w:val="004E6A4C"/>
    <w:rsid w:val="004F5818"/>
    <w:rsid w:val="005120C6"/>
    <w:rsid w:val="00565F58"/>
    <w:rsid w:val="005746AE"/>
    <w:rsid w:val="00590545"/>
    <w:rsid w:val="00592C2A"/>
    <w:rsid w:val="005A6B0E"/>
    <w:rsid w:val="005D20E7"/>
    <w:rsid w:val="005D7796"/>
    <w:rsid w:val="006346A5"/>
    <w:rsid w:val="00634B32"/>
    <w:rsid w:val="006747BC"/>
    <w:rsid w:val="00690AEC"/>
    <w:rsid w:val="006A0EFA"/>
    <w:rsid w:val="006D4E1F"/>
    <w:rsid w:val="007001F6"/>
    <w:rsid w:val="007054FF"/>
    <w:rsid w:val="00705582"/>
    <w:rsid w:val="007413AE"/>
    <w:rsid w:val="00742BD1"/>
    <w:rsid w:val="00754A46"/>
    <w:rsid w:val="00780155"/>
    <w:rsid w:val="00791B28"/>
    <w:rsid w:val="007B3BAF"/>
    <w:rsid w:val="007B7695"/>
    <w:rsid w:val="007C5F14"/>
    <w:rsid w:val="007D310F"/>
    <w:rsid w:val="007E7BE0"/>
    <w:rsid w:val="007F3E40"/>
    <w:rsid w:val="007F77C3"/>
    <w:rsid w:val="00811E25"/>
    <w:rsid w:val="00852D6C"/>
    <w:rsid w:val="0086090E"/>
    <w:rsid w:val="008672CC"/>
    <w:rsid w:val="00876546"/>
    <w:rsid w:val="008776C8"/>
    <w:rsid w:val="00892FEB"/>
    <w:rsid w:val="008B4F4F"/>
    <w:rsid w:val="00945D3F"/>
    <w:rsid w:val="00953B2E"/>
    <w:rsid w:val="00965318"/>
    <w:rsid w:val="00972CD6"/>
    <w:rsid w:val="00996900"/>
    <w:rsid w:val="009A73A8"/>
    <w:rsid w:val="009B0C46"/>
    <w:rsid w:val="009C272D"/>
    <w:rsid w:val="009D095B"/>
    <w:rsid w:val="009D396B"/>
    <w:rsid w:val="009E2E85"/>
    <w:rsid w:val="009F5BEE"/>
    <w:rsid w:val="00A3521E"/>
    <w:rsid w:val="00A41617"/>
    <w:rsid w:val="00A470C9"/>
    <w:rsid w:val="00A62FC2"/>
    <w:rsid w:val="00A70802"/>
    <w:rsid w:val="00AC0598"/>
    <w:rsid w:val="00AC47DC"/>
    <w:rsid w:val="00AE0AA1"/>
    <w:rsid w:val="00AF072F"/>
    <w:rsid w:val="00AF5C3D"/>
    <w:rsid w:val="00B14C17"/>
    <w:rsid w:val="00B54E9D"/>
    <w:rsid w:val="00B63893"/>
    <w:rsid w:val="00B6654B"/>
    <w:rsid w:val="00B67775"/>
    <w:rsid w:val="00B76150"/>
    <w:rsid w:val="00BA76F9"/>
    <w:rsid w:val="00BC2AAA"/>
    <w:rsid w:val="00C0549E"/>
    <w:rsid w:val="00C22330"/>
    <w:rsid w:val="00C3423D"/>
    <w:rsid w:val="00C529AA"/>
    <w:rsid w:val="00C53FC5"/>
    <w:rsid w:val="00C72E3C"/>
    <w:rsid w:val="00C94880"/>
    <w:rsid w:val="00C979EE"/>
    <w:rsid w:val="00CF2430"/>
    <w:rsid w:val="00CF5FC6"/>
    <w:rsid w:val="00D22350"/>
    <w:rsid w:val="00D25AE0"/>
    <w:rsid w:val="00D35AB7"/>
    <w:rsid w:val="00D5338B"/>
    <w:rsid w:val="00DA6CEE"/>
    <w:rsid w:val="00DD27F8"/>
    <w:rsid w:val="00DD489F"/>
    <w:rsid w:val="00DF4C6F"/>
    <w:rsid w:val="00DF6CA7"/>
    <w:rsid w:val="00E27080"/>
    <w:rsid w:val="00E328EC"/>
    <w:rsid w:val="00E33352"/>
    <w:rsid w:val="00E645AA"/>
    <w:rsid w:val="00EB330B"/>
    <w:rsid w:val="00EB56DC"/>
    <w:rsid w:val="00EC688B"/>
    <w:rsid w:val="00ED75CE"/>
    <w:rsid w:val="00EF566F"/>
    <w:rsid w:val="00EF5D63"/>
    <w:rsid w:val="00F15D3F"/>
    <w:rsid w:val="00F15F9E"/>
    <w:rsid w:val="00F35144"/>
    <w:rsid w:val="00F615AD"/>
    <w:rsid w:val="00F630A8"/>
    <w:rsid w:val="00F93C7C"/>
    <w:rsid w:val="00FA3B73"/>
    <w:rsid w:val="00FB43A2"/>
    <w:rsid w:val="00FF2F3F"/>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26625"/>
    <o:shapelayout v:ext="edit">
      <o:idmap v:ext="edit" data="1"/>
    </o:shapelayout>
  </w:shapeDefaults>
  <w:decimalSymbol w:val="."/>
  <w:listSeparator w:val=","/>
  <w15:chartTrackingRefBased/>
  <w15:docId w15:val="{7AA70284-9EB8-4B2F-AEAC-9DDF2A9592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he-I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Ruller4">
    <w:name w:val="Ruller 4 ממוספר"/>
    <w:basedOn w:val="a"/>
    <w:next w:val="a"/>
    <w:link w:val="Ruller40"/>
    <w:rsid w:val="003447FB"/>
    <w:pPr>
      <w:numPr>
        <w:numId w:val="1"/>
      </w:numPr>
      <w:tabs>
        <w:tab w:val="left" w:pos="800"/>
      </w:tabs>
      <w:overflowPunct w:val="0"/>
      <w:autoSpaceDE w:val="0"/>
      <w:autoSpaceDN w:val="0"/>
      <w:adjustRightInd w:val="0"/>
      <w:spacing w:after="0" w:line="240" w:lineRule="auto"/>
      <w:jc w:val="both"/>
    </w:pPr>
    <w:rPr>
      <w:rFonts w:ascii="Garamond" w:eastAsia="Times New Roman" w:hAnsi="Garamond" w:cs="David"/>
      <w:sz w:val="24"/>
      <w:szCs w:val="24"/>
    </w:rPr>
  </w:style>
  <w:style w:type="paragraph" w:customStyle="1" w:styleId="Ruller41">
    <w:name w:val="Ruller4"/>
    <w:basedOn w:val="a"/>
    <w:link w:val="Ruller42"/>
    <w:rsid w:val="00E27080"/>
    <w:pPr>
      <w:tabs>
        <w:tab w:val="left" w:pos="800"/>
      </w:tabs>
      <w:overflowPunct w:val="0"/>
      <w:autoSpaceDE w:val="0"/>
      <w:autoSpaceDN w:val="0"/>
      <w:adjustRightInd w:val="0"/>
      <w:spacing w:after="0" w:line="360" w:lineRule="auto"/>
      <w:jc w:val="both"/>
      <w:textAlignment w:val="baseline"/>
    </w:pPr>
    <w:rPr>
      <w:rFonts w:ascii="Arial TUR" w:eastAsia="Times New Roman" w:hAnsi="Arial TUR" w:cs="FrankRuehl"/>
      <w:spacing w:val="10"/>
      <w:szCs w:val="28"/>
    </w:rPr>
  </w:style>
  <w:style w:type="character" w:customStyle="1" w:styleId="Ruller42">
    <w:name w:val="Ruller4 תו"/>
    <w:link w:val="Ruller41"/>
    <w:locked/>
    <w:rsid w:val="00E27080"/>
    <w:rPr>
      <w:rFonts w:ascii="Arial TUR" w:eastAsia="Times New Roman" w:hAnsi="Arial TUR" w:cs="FrankRuehl"/>
      <w:spacing w:val="10"/>
      <w:szCs w:val="28"/>
    </w:rPr>
  </w:style>
  <w:style w:type="paragraph" w:styleId="a3">
    <w:name w:val="header"/>
    <w:basedOn w:val="a"/>
    <w:link w:val="a4"/>
    <w:uiPriority w:val="99"/>
    <w:unhideWhenUsed/>
    <w:rsid w:val="00C0549E"/>
    <w:pPr>
      <w:tabs>
        <w:tab w:val="center" w:pos="4153"/>
        <w:tab w:val="right" w:pos="8306"/>
      </w:tabs>
      <w:spacing w:after="0" w:line="240" w:lineRule="auto"/>
    </w:pPr>
  </w:style>
  <w:style w:type="character" w:customStyle="1" w:styleId="a4">
    <w:name w:val="כותרת עליונה תו"/>
    <w:basedOn w:val="a0"/>
    <w:link w:val="a3"/>
    <w:uiPriority w:val="99"/>
    <w:rsid w:val="00C0549E"/>
  </w:style>
  <w:style w:type="paragraph" w:styleId="a5">
    <w:name w:val="footer"/>
    <w:basedOn w:val="a"/>
    <w:link w:val="a6"/>
    <w:uiPriority w:val="99"/>
    <w:unhideWhenUsed/>
    <w:rsid w:val="00C0549E"/>
    <w:pPr>
      <w:tabs>
        <w:tab w:val="center" w:pos="4153"/>
        <w:tab w:val="right" w:pos="8306"/>
      </w:tabs>
      <w:spacing w:after="0" w:line="240" w:lineRule="auto"/>
    </w:pPr>
  </w:style>
  <w:style w:type="character" w:customStyle="1" w:styleId="a6">
    <w:name w:val="כותרת תחתונה תו"/>
    <w:basedOn w:val="a0"/>
    <w:link w:val="a5"/>
    <w:uiPriority w:val="99"/>
    <w:rsid w:val="00C0549E"/>
  </w:style>
  <w:style w:type="paragraph" w:customStyle="1" w:styleId="p00">
    <w:name w:val="p00"/>
    <w:basedOn w:val="a"/>
    <w:rsid w:val="007C5F14"/>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default">
    <w:name w:val="default"/>
    <w:basedOn w:val="a0"/>
    <w:rsid w:val="007C5F14"/>
  </w:style>
  <w:style w:type="paragraph" w:styleId="a7">
    <w:name w:val="Balloon Text"/>
    <w:basedOn w:val="a"/>
    <w:link w:val="a8"/>
    <w:uiPriority w:val="99"/>
    <w:semiHidden/>
    <w:unhideWhenUsed/>
    <w:rsid w:val="00BA76F9"/>
    <w:pPr>
      <w:spacing w:after="0" w:line="240" w:lineRule="auto"/>
    </w:pPr>
    <w:rPr>
      <w:rFonts w:ascii="Tahoma" w:hAnsi="Tahoma" w:cs="Tahoma"/>
      <w:sz w:val="18"/>
      <w:szCs w:val="18"/>
    </w:rPr>
  </w:style>
  <w:style w:type="character" w:customStyle="1" w:styleId="a8">
    <w:name w:val="טקסט בלונים תו"/>
    <w:basedOn w:val="a0"/>
    <w:link w:val="a7"/>
    <w:uiPriority w:val="99"/>
    <w:semiHidden/>
    <w:rsid w:val="00BA76F9"/>
    <w:rPr>
      <w:rFonts w:ascii="Tahoma" w:hAnsi="Tahoma" w:cs="Tahoma"/>
      <w:sz w:val="18"/>
      <w:szCs w:val="18"/>
    </w:rPr>
  </w:style>
  <w:style w:type="paragraph" w:customStyle="1" w:styleId="bodyruller">
    <w:name w:val="bodyruller"/>
    <w:basedOn w:val="a"/>
    <w:rsid w:val="008B4F4F"/>
    <w:pPr>
      <w:bidi w:val="0"/>
      <w:spacing w:after="150" w:line="240" w:lineRule="auto"/>
    </w:pPr>
    <w:rPr>
      <w:rFonts w:ascii="Times New Roman" w:eastAsia="Times New Roman" w:hAnsi="Times New Roman" w:cs="Times New Roman"/>
      <w:sz w:val="24"/>
      <w:szCs w:val="24"/>
    </w:rPr>
  </w:style>
  <w:style w:type="paragraph" w:customStyle="1" w:styleId="filenumber">
    <w:name w:val="filenumber"/>
    <w:basedOn w:val="a"/>
    <w:rsid w:val="008B4F4F"/>
    <w:pPr>
      <w:bidi w:val="0"/>
      <w:spacing w:after="150" w:line="240" w:lineRule="auto"/>
    </w:pPr>
    <w:rPr>
      <w:rFonts w:ascii="Times New Roman" w:eastAsia="Times New Roman" w:hAnsi="Times New Roman" w:cs="Times New Roman"/>
      <w:sz w:val="24"/>
      <w:szCs w:val="24"/>
    </w:rPr>
  </w:style>
  <w:style w:type="character" w:customStyle="1" w:styleId="Ruller40">
    <w:name w:val="Ruller 4 ממוספר תו"/>
    <w:link w:val="Ruller4"/>
    <w:locked/>
    <w:rsid w:val="008B4F4F"/>
    <w:rPr>
      <w:rFonts w:ascii="Garamond" w:eastAsia="Times New Roman" w:hAnsi="Garamond" w:cs="David"/>
      <w:sz w:val="24"/>
      <w:szCs w:val="24"/>
    </w:rPr>
  </w:style>
  <w:style w:type="paragraph" w:customStyle="1" w:styleId="Pskdinhead">
    <w:name w:val="Pskdin head"/>
    <w:basedOn w:val="a"/>
    <w:rsid w:val="008B4F4F"/>
    <w:pPr>
      <w:overflowPunct w:val="0"/>
      <w:autoSpaceDE w:val="0"/>
      <w:autoSpaceDN w:val="0"/>
      <w:adjustRightInd w:val="0"/>
      <w:spacing w:after="0" w:line="360" w:lineRule="auto"/>
      <w:textAlignment w:val="baseline"/>
    </w:pPr>
    <w:rPr>
      <w:rFonts w:ascii="Times New Roman" w:eastAsia="Times New Roman" w:hAnsi="Times New Roman" w:cs="David"/>
      <w:b/>
      <w:bCs/>
      <w:sz w:val="20"/>
      <w:szCs w:val="24"/>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46754024">
      <w:bodyDiv w:val="1"/>
      <w:marLeft w:val="0"/>
      <w:marRight w:val="0"/>
      <w:marTop w:val="0"/>
      <w:marBottom w:val="0"/>
      <w:divBdr>
        <w:top w:val="none" w:sz="0" w:space="0" w:color="auto"/>
        <w:left w:val="none" w:sz="0" w:space="0" w:color="auto"/>
        <w:bottom w:val="none" w:sz="0" w:space="0" w:color="auto"/>
        <w:right w:val="none" w:sz="0" w:space="0" w:color="auto"/>
      </w:divBdr>
      <w:divsChild>
        <w:div w:id="687214513">
          <w:marLeft w:val="0"/>
          <w:marRight w:val="0"/>
          <w:marTop w:val="0"/>
          <w:marBottom w:val="0"/>
          <w:divBdr>
            <w:top w:val="none" w:sz="0" w:space="0" w:color="auto"/>
            <w:left w:val="none" w:sz="0" w:space="0" w:color="auto"/>
            <w:bottom w:val="none" w:sz="0" w:space="0" w:color="auto"/>
            <w:right w:val="none" w:sz="0" w:space="0" w:color="auto"/>
          </w:divBdr>
        </w:div>
      </w:divsChild>
    </w:div>
    <w:div w:id="521673030">
      <w:bodyDiv w:val="1"/>
      <w:marLeft w:val="0"/>
      <w:marRight w:val="0"/>
      <w:marTop w:val="0"/>
      <w:marBottom w:val="0"/>
      <w:divBdr>
        <w:top w:val="none" w:sz="0" w:space="0" w:color="auto"/>
        <w:left w:val="none" w:sz="0" w:space="0" w:color="auto"/>
        <w:bottom w:val="none" w:sz="0" w:space="0" w:color="auto"/>
        <w:right w:val="none" w:sz="0" w:space="0" w:color="auto"/>
      </w:divBdr>
    </w:div>
    <w:div w:id="795102594">
      <w:bodyDiv w:val="1"/>
      <w:marLeft w:val="0"/>
      <w:marRight w:val="0"/>
      <w:marTop w:val="0"/>
      <w:marBottom w:val="0"/>
      <w:divBdr>
        <w:top w:val="none" w:sz="0" w:space="0" w:color="auto"/>
        <w:left w:val="none" w:sz="0" w:space="0" w:color="auto"/>
        <w:bottom w:val="none" w:sz="0" w:space="0" w:color="auto"/>
        <w:right w:val="none" w:sz="0" w:space="0" w:color="auto"/>
      </w:divBdr>
    </w:div>
    <w:div w:id="1393508232">
      <w:bodyDiv w:val="1"/>
      <w:marLeft w:val="0"/>
      <w:marRight w:val="0"/>
      <w:marTop w:val="0"/>
      <w:marBottom w:val="0"/>
      <w:divBdr>
        <w:top w:val="none" w:sz="0" w:space="0" w:color="auto"/>
        <w:left w:val="none" w:sz="0" w:space="0" w:color="auto"/>
        <w:bottom w:val="none" w:sz="0" w:space="0" w:color="auto"/>
        <w:right w:val="none" w:sz="0" w:space="0" w:color="auto"/>
      </w:divBdr>
    </w:div>
    <w:div w:id="1492216877">
      <w:bodyDiv w:val="1"/>
      <w:marLeft w:val="0"/>
      <w:marRight w:val="0"/>
      <w:marTop w:val="0"/>
      <w:marBottom w:val="0"/>
      <w:divBdr>
        <w:top w:val="none" w:sz="0" w:space="0" w:color="auto"/>
        <w:left w:val="none" w:sz="0" w:space="0" w:color="auto"/>
        <w:bottom w:val="none" w:sz="0" w:space="0" w:color="auto"/>
        <w:right w:val="none" w:sz="0" w:space="0" w:color="auto"/>
      </w:divBdr>
      <w:divsChild>
        <w:div w:id="551354417">
          <w:marLeft w:val="0"/>
          <w:marRight w:val="0"/>
          <w:marTop w:val="0"/>
          <w:marBottom w:val="0"/>
          <w:divBdr>
            <w:top w:val="none" w:sz="0" w:space="0" w:color="auto"/>
            <w:left w:val="none" w:sz="0" w:space="0" w:color="auto"/>
            <w:bottom w:val="none" w:sz="0" w:space="0" w:color="auto"/>
            <w:right w:val="none" w:sz="0" w:space="0" w:color="auto"/>
          </w:divBdr>
          <w:divsChild>
            <w:div w:id="1216039181">
              <w:marLeft w:val="0"/>
              <w:marRight w:val="0"/>
              <w:marTop w:val="0"/>
              <w:marBottom w:val="0"/>
              <w:divBdr>
                <w:top w:val="none" w:sz="0" w:space="0" w:color="auto"/>
                <w:left w:val="none" w:sz="0" w:space="0" w:color="auto"/>
                <w:bottom w:val="none" w:sz="0" w:space="0" w:color="auto"/>
                <w:right w:val="none" w:sz="0" w:space="0" w:color="auto"/>
              </w:divBdr>
              <w:divsChild>
                <w:div w:id="1073311767">
                  <w:marLeft w:val="0"/>
                  <w:marRight w:val="0"/>
                  <w:marTop w:val="0"/>
                  <w:marBottom w:val="0"/>
                  <w:divBdr>
                    <w:top w:val="none" w:sz="0" w:space="0" w:color="auto"/>
                    <w:left w:val="none" w:sz="0" w:space="0" w:color="auto"/>
                    <w:bottom w:val="none" w:sz="0" w:space="0" w:color="auto"/>
                    <w:right w:val="none" w:sz="0" w:space="0" w:color="auto"/>
                  </w:divBdr>
                  <w:divsChild>
                    <w:div w:id="399331382">
                      <w:marLeft w:val="0"/>
                      <w:marRight w:val="0"/>
                      <w:marTop w:val="0"/>
                      <w:marBottom w:val="0"/>
                      <w:divBdr>
                        <w:top w:val="none" w:sz="0" w:space="0" w:color="auto"/>
                        <w:left w:val="none" w:sz="0" w:space="0" w:color="auto"/>
                        <w:bottom w:val="none" w:sz="0" w:space="0" w:color="auto"/>
                        <w:right w:val="none" w:sz="0" w:space="0" w:color="auto"/>
                      </w:divBdr>
                      <w:divsChild>
                        <w:div w:id="2084179065">
                          <w:marLeft w:val="0"/>
                          <w:marRight w:val="0"/>
                          <w:marTop w:val="0"/>
                          <w:marBottom w:val="0"/>
                          <w:divBdr>
                            <w:top w:val="none" w:sz="0" w:space="0" w:color="auto"/>
                            <w:left w:val="none" w:sz="0" w:space="0" w:color="auto"/>
                            <w:bottom w:val="none" w:sz="0" w:space="0" w:color="auto"/>
                            <w:right w:val="none" w:sz="0" w:space="0" w:color="auto"/>
                          </w:divBdr>
                          <w:divsChild>
                            <w:div w:id="1746872970">
                              <w:marLeft w:val="0"/>
                              <w:marRight w:val="0"/>
                              <w:marTop w:val="0"/>
                              <w:marBottom w:val="0"/>
                              <w:divBdr>
                                <w:top w:val="none" w:sz="0" w:space="0" w:color="auto"/>
                                <w:left w:val="none" w:sz="0" w:space="0" w:color="auto"/>
                                <w:bottom w:val="none" w:sz="0" w:space="0" w:color="auto"/>
                                <w:right w:val="none" w:sz="0" w:space="0" w:color="auto"/>
                              </w:divBdr>
                              <w:divsChild>
                                <w:div w:id="222329210">
                                  <w:marLeft w:val="0"/>
                                  <w:marRight w:val="0"/>
                                  <w:marTop w:val="0"/>
                                  <w:marBottom w:val="0"/>
                                  <w:divBdr>
                                    <w:top w:val="none" w:sz="0" w:space="0" w:color="auto"/>
                                    <w:left w:val="single" w:sz="48" w:space="0" w:color="525659"/>
                                    <w:bottom w:val="none" w:sz="0" w:space="0" w:color="auto"/>
                                    <w:right w:val="single" w:sz="48" w:space="0" w:color="525659"/>
                                  </w:divBdr>
                                  <w:divsChild>
                                    <w:div w:id="1097210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 /><Relationship Id="rId3" Type="http://schemas.openxmlformats.org/officeDocument/2006/relationships/styles" Target="styles.xml" /><Relationship Id="rId7" Type="http://schemas.openxmlformats.org/officeDocument/2006/relationships/endnotes" Target="endnotes.xml" /><Relationship Id="rId2" Type="http://schemas.openxmlformats.org/officeDocument/2006/relationships/numbering" Target="numbering.xml" /><Relationship Id="rId1" Type="http://schemas.openxmlformats.org/officeDocument/2006/relationships/customXml" Target="../customXml/item1.xml" /><Relationship Id="rId6" Type="http://schemas.openxmlformats.org/officeDocument/2006/relationships/footnotes" Target="footnotes.xml" /><Relationship Id="rId11" Type="http://schemas.openxmlformats.org/officeDocument/2006/relationships/theme" Target="theme/theme1.xml" /><Relationship Id="rId5" Type="http://schemas.openxmlformats.org/officeDocument/2006/relationships/webSettings" Target="webSettings.xml" /><Relationship Id="rId10" Type="http://schemas.openxmlformats.org/officeDocument/2006/relationships/fontTable" Target="fontTable.xml" /><Relationship Id="rId4" Type="http://schemas.openxmlformats.org/officeDocument/2006/relationships/settings" Target="settings.xml" /><Relationship Id="rId9" Type="http://schemas.openxmlformats.org/officeDocument/2006/relationships/footer" Target="footer1.xml" /></Relationships>
</file>

<file path=word/_rels/header1.xml.rels><?xml version="1.0" encoding="UTF-8" standalone="yes"?>
<Relationships xmlns="http://schemas.openxmlformats.org/package/2006/relationships"><Relationship Id="rId1" Type="http://schemas.openxmlformats.org/officeDocument/2006/relationships/image" Target="media/image1.png" /></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FF6DEDC-BDD5-4A07-9697-E7906DE7D431}">
  <ds:schemaRefs>
    <ds:schemaRef ds:uri="http://schemas.openxmlformats.org/officeDocument/2006/bibliography"/>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1129</Words>
  <Characters>5645</Characters>
  <Application>Microsoft Office Word</Application>
  <DocSecurity>0</DocSecurity>
  <Lines>47</Lines>
  <Paragraphs>13</Paragraphs>
  <ScaleCrop>false</ScaleCrop>
  <HeadingPairs>
    <vt:vector size="2" baseType="variant">
      <vt:variant>
        <vt:lpstr>שם</vt:lpstr>
      </vt:variant>
      <vt:variant>
        <vt:i4>1</vt:i4>
      </vt:variant>
    </vt:vector>
  </HeadingPairs>
  <TitlesOfParts>
    <vt:vector size="1" baseType="lpstr">
      <vt:lpstr/>
    </vt:vector>
  </TitlesOfParts>
  <Company/>
  <LinksUpToDate>false</LinksUpToDate>
  <CharactersWithSpaces>6761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Court</dc:creator>
  <cp:keywords/>
  <dc:description/>
  <cp:lastModifiedBy>atarmishkefet@gmail.com</cp:lastModifiedBy>
  <cp:revision>2</cp:revision>
  <cp:lastPrinted>2020-06-09T15:04:00Z</cp:lastPrinted>
  <dcterms:created xsi:type="dcterms:W3CDTF">2020-06-09T15:59:00Z</dcterms:created>
  <dcterms:modified xsi:type="dcterms:W3CDTF">2020-06-09T15:59:00Z</dcterms:modified>
</cp:coreProperties>
</file>