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682A" w:rsidRDefault="00BA682A" w:rsidP="001947FC">
      <w:pPr>
        <w:jc w:val="center"/>
        <w:rPr>
          <w:b/>
          <w:bCs/>
          <w:sz w:val="26"/>
          <w:szCs w:val="26"/>
          <w:rtl/>
        </w:rPr>
      </w:pPr>
      <w:bookmarkStart w:id="0" w:name="_Toc503130993"/>
      <w:r>
        <w:rPr>
          <w:noProof/>
        </w:rPr>
        <w:drawing>
          <wp:inline distT="0" distB="0" distL="0" distR="0" wp14:anchorId="77B13C21" wp14:editId="655CB187">
            <wp:extent cx="509905" cy="624205"/>
            <wp:effectExtent l="0" t="0" r="4445" b="4445"/>
            <wp:docPr id="1" name="תמונה 1" descr="סמל המדינה"/>
            <wp:cNvGraphicFramePr/>
            <a:graphic xmlns:a="http://schemas.openxmlformats.org/drawingml/2006/main">
              <a:graphicData uri="http://schemas.openxmlformats.org/drawingml/2006/picture">
                <pic:pic xmlns:pic="http://schemas.openxmlformats.org/drawingml/2006/picture">
                  <pic:nvPicPr>
                    <pic:cNvPr id="1" name="תמונה 1" descr="סמל המדינה"/>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9905" cy="624205"/>
                    </a:xfrm>
                    <a:prstGeom prst="rect">
                      <a:avLst/>
                    </a:prstGeom>
                    <a:noFill/>
                    <a:ln>
                      <a:noFill/>
                    </a:ln>
                  </pic:spPr>
                </pic:pic>
              </a:graphicData>
            </a:graphic>
          </wp:inline>
        </w:drawing>
      </w:r>
    </w:p>
    <w:p w:rsidR="00BA682A" w:rsidRDefault="00BA682A" w:rsidP="001947FC">
      <w:pPr>
        <w:rPr>
          <w:b/>
          <w:bCs/>
          <w:sz w:val="26"/>
          <w:szCs w:val="26"/>
          <w:rtl/>
        </w:rPr>
      </w:pPr>
      <w:r w:rsidRPr="00CB5068">
        <w:rPr>
          <w:b/>
          <w:bCs/>
          <w:sz w:val="26"/>
          <w:szCs w:val="26"/>
          <w:rtl/>
        </w:rPr>
        <w:t>תוכן עניינים</w:t>
      </w:r>
    </w:p>
    <w:p w:rsidR="005B4A40" w:rsidRDefault="00BA682A">
      <w:pPr>
        <w:pStyle w:val="TOC1"/>
        <w:rPr>
          <w:rFonts w:asciiTheme="minorHAnsi" w:eastAsiaTheme="minorEastAsia" w:hAnsiTheme="minorHAnsi" w:cstheme="minorBidi"/>
          <w:bCs w:val="0"/>
          <w:noProof/>
          <w:sz w:val="22"/>
          <w:rtl/>
        </w:rPr>
      </w:pPr>
      <w:r>
        <w:rPr>
          <w:rtl/>
        </w:rPr>
        <w:fldChar w:fldCharType="begin"/>
      </w:r>
      <w:r>
        <w:rPr>
          <w:rtl/>
        </w:rPr>
        <w:instrText xml:space="preserve"> </w:instrText>
      </w:r>
      <w:r>
        <w:instrText>TOC</w:instrText>
      </w:r>
      <w:r>
        <w:rPr>
          <w:rtl/>
        </w:rPr>
        <w:instrText xml:space="preserve"> \</w:instrText>
      </w:r>
      <w:r>
        <w:instrText>o "1-9" \h \z \t "Table SideHeading,3,Table Head,2,Head HatzaotHok,1,Head DivreiHesber,2,Head HatzaotHok4Futer,1</w:instrText>
      </w:r>
      <w:r>
        <w:rPr>
          <w:rtl/>
        </w:rPr>
        <w:instrText xml:space="preserve">" </w:instrText>
      </w:r>
      <w:r>
        <w:rPr>
          <w:rtl/>
        </w:rPr>
        <w:fldChar w:fldCharType="separate"/>
      </w:r>
      <w:hyperlink w:anchor="_Toc75433120" w:history="1">
        <w:r w:rsidR="005B4A40" w:rsidRPr="00BE67A3">
          <w:rPr>
            <w:rStyle w:val="Hyperlink"/>
            <w:noProof/>
            <w:rtl/>
          </w:rPr>
          <w:t>תזכיר חוק</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Toc75433120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4</w:t>
        </w:r>
        <w:r w:rsidR="005B4A40">
          <w:rPr>
            <w:noProof/>
            <w:webHidden/>
            <w:rtl/>
          </w:rPr>
          <w:fldChar w:fldCharType="end"/>
        </w:r>
      </w:hyperlink>
    </w:p>
    <w:p w:rsidR="005B4A40" w:rsidRDefault="00094C4E">
      <w:pPr>
        <w:pStyle w:val="TOC4"/>
        <w:rPr>
          <w:rFonts w:cstheme="minorBidi"/>
          <w:rtl/>
        </w:rPr>
      </w:pPr>
      <w:hyperlink w:anchor="_Toc75433121" w:history="1">
        <w:r w:rsidR="005B4A40" w:rsidRPr="00BE67A3">
          <w:rPr>
            <w:rStyle w:val="Hyperlink"/>
            <w:rtl/>
          </w:rPr>
          <w:t>א. שם החוק המוצע</w:t>
        </w:r>
        <w:r w:rsidR="005B4A40">
          <w:rPr>
            <w:webHidden/>
            <w:rtl/>
          </w:rPr>
          <w:tab/>
        </w:r>
        <w:r w:rsidR="005B4A40">
          <w:rPr>
            <w:webHidden/>
            <w:rtl/>
          </w:rPr>
          <w:fldChar w:fldCharType="begin"/>
        </w:r>
        <w:r w:rsidR="005B4A40">
          <w:rPr>
            <w:webHidden/>
            <w:rtl/>
          </w:rPr>
          <w:instrText xml:space="preserve"> </w:instrText>
        </w:r>
        <w:r w:rsidR="005B4A40">
          <w:rPr>
            <w:webHidden/>
          </w:rPr>
          <w:instrText>PAGEREF</w:instrText>
        </w:r>
        <w:r w:rsidR="005B4A40">
          <w:rPr>
            <w:webHidden/>
            <w:rtl/>
          </w:rPr>
          <w:instrText xml:space="preserve"> _</w:instrText>
        </w:r>
        <w:r w:rsidR="005B4A40">
          <w:rPr>
            <w:webHidden/>
          </w:rPr>
          <w:instrText>Toc75433121 \h</w:instrText>
        </w:r>
        <w:r w:rsidR="005B4A40">
          <w:rPr>
            <w:webHidden/>
            <w:rtl/>
          </w:rPr>
          <w:instrText xml:space="preserve"> </w:instrText>
        </w:r>
        <w:r w:rsidR="005B4A40">
          <w:rPr>
            <w:webHidden/>
            <w:rtl/>
          </w:rPr>
        </w:r>
        <w:r w:rsidR="005B4A40">
          <w:rPr>
            <w:webHidden/>
            <w:rtl/>
          </w:rPr>
          <w:fldChar w:fldCharType="separate"/>
        </w:r>
        <w:r w:rsidR="00081A80">
          <w:rPr>
            <w:webHidden/>
            <w:rtl/>
          </w:rPr>
          <w:t>4</w:t>
        </w:r>
        <w:r w:rsidR="005B4A40">
          <w:rPr>
            <w:webHidden/>
            <w:rtl/>
          </w:rPr>
          <w:fldChar w:fldCharType="end"/>
        </w:r>
      </w:hyperlink>
    </w:p>
    <w:p w:rsidR="005B4A40" w:rsidRDefault="00094C4E">
      <w:pPr>
        <w:pStyle w:val="TOC4"/>
        <w:rPr>
          <w:rFonts w:cstheme="minorBidi"/>
          <w:rtl/>
        </w:rPr>
      </w:pPr>
      <w:hyperlink w:anchor="_Toc75433122" w:history="1">
        <w:r w:rsidR="005B4A40" w:rsidRPr="00BE67A3">
          <w:rPr>
            <w:rStyle w:val="Hyperlink"/>
            <w:rtl/>
          </w:rPr>
          <w:t>ב. מטרת החוק המוצע, הצורך בו, עיקרי הוראותיו והשפעתו על הדין הקיים</w:t>
        </w:r>
        <w:r w:rsidR="005B4A40">
          <w:rPr>
            <w:webHidden/>
            <w:rtl/>
          </w:rPr>
          <w:tab/>
        </w:r>
        <w:r w:rsidR="005B4A40">
          <w:rPr>
            <w:webHidden/>
            <w:rtl/>
          </w:rPr>
          <w:fldChar w:fldCharType="begin"/>
        </w:r>
        <w:r w:rsidR="005B4A40">
          <w:rPr>
            <w:webHidden/>
            <w:rtl/>
          </w:rPr>
          <w:instrText xml:space="preserve"> </w:instrText>
        </w:r>
        <w:r w:rsidR="005B4A40">
          <w:rPr>
            <w:webHidden/>
          </w:rPr>
          <w:instrText>PAGEREF</w:instrText>
        </w:r>
        <w:r w:rsidR="005B4A40">
          <w:rPr>
            <w:webHidden/>
            <w:rtl/>
          </w:rPr>
          <w:instrText xml:space="preserve"> _</w:instrText>
        </w:r>
        <w:r w:rsidR="005B4A40">
          <w:rPr>
            <w:webHidden/>
          </w:rPr>
          <w:instrText>Toc75433122 \h</w:instrText>
        </w:r>
        <w:r w:rsidR="005B4A40">
          <w:rPr>
            <w:webHidden/>
            <w:rtl/>
          </w:rPr>
          <w:instrText xml:space="preserve"> </w:instrText>
        </w:r>
        <w:r w:rsidR="005B4A40">
          <w:rPr>
            <w:webHidden/>
            <w:rtl/>
          </w:rPr>
        </w:r>
        <w:r w:rsidR="005B4A40">
          <w:rPr>
            <w:webHidden/>
            <w:rtl/>
          </w:rPr>
          <w:fldChar w:fldCharType="separate"/>
        </w:r>
        <w:r w:rsidR="00081A80">
          <w:rPr>
            <w:webHidden/>
            <w:rtl/>
          </w:rPr>
          <w:t>4</w:t>
        </w:r>
        <w:r w:rsidR="005B4A40">
          <w:rPr>
            <w:webHidden/>
            <w:rtl/>
          </w:rPr>
          <w:fldChar w:fldCharType="end"/>
        </w:r>
      </w:hyperlink>
    </w:p>
    <w:p w:rsidR="005B4A40" w:rsidRDefault="00094C4E">
      <w:pPr>
        <w:pStyle w:val="TOC4"/>
        <w:rPr>
          <w:rFonts w:cstheme="minorBidi"/>
          <w:rtl/>
        </w:rPr>
      </w:pPr>
      <w:hyperlink w:anchor="_Toc75433123" w:history="1">
        <w:r w:rsidR="005B4A40" w:rsidRPr="00BE67A3">
          <w:rPr>
            <w:rStyle w:val="Hyperlink"/>
            <w:rtl/>
          </w:rPr>
          <w:t>ג. השפעת החוק המוצע על קבוצות אוכלוסייה מסוימות</w:t>
        </w:r>
        <w:r w:rsidR="005B4A40">
          <w:rPr>
            <w:webHidden/>
            <w:rtl/>
          </w:rPr>
          <w:tab/>
        </w:r>
        <w:r w:rsidR="005B4A40">
          <w:rPr>
            <w:webHidden/>
            <w:rtl/>
          </w:rPr>
          <w:fldChar w:fldCharType="begin"/>
        </w:r>
        <w:r w:rsidR="005B4A40">
          <w:rPr>
            <w:webHidden/>
            <w:rtl/>
          </w:rPr>
          <w:instrText xml:space="preserve"> </w:instrText>
        </w:r>
        <w:r w:rsidR="005B4A40">
          <w:rPr>
            <w:webHidden/>
          </w:rPr>
          <w:instrText>PAGEREF</w:instrText>
        </w:r>
        <w:r w:rsidR="005B4A40">
          <w:rPr>
            <w:webHidden/>
            <w:rtl/>
          </w:rPr>
          <w:instrText xml:space="preserve"> _</w:instrText>
        </w:r>
        <w:r w:rsidR="005B4A40">
          <w:rPr>
            <w:webHidden/>
          </w:rPr>
          <w:instrText>Toc75433123 \h</w:instrText>
        </w:r>
        <w:r w:rsidR="005B4A40">
          <w:rPr>
            <w:webHidden/>
            <w:rtl/>
          </w:rPr>
          <w:instrText xml:space="preserve"> </w:instrText>
        </w:r>
        <w:r w:rsidR="005B4A40">
          <w:rPr>
            <w:webHidden/>
            <w:rtl/>
          </w:rPr>
        </w:r>
        <w:r w:rsidR="005B4A40">
          <w:rPr>
            <w:webHidden/>
            <w:rtl/>
          </w:rPr>
          <w:fldChar w:fldCharType="separate"/>
        </w:r>
        <w:r w:rsidR="00081A80">
          <w:rPr>
            <w:webHidden/>
            <w:rtl/>
          </w:rPr>
          <w:t>5</w:t>
        </w:r>
        <w:r w:rsidR="005B4A40">
          <w:rPr>
            <w:webHidden/>
            <w:rtl/>
          </w:rPr>
          <w:fldChar w:fldCharType="end"/>
        </w:r>
      </w:hyperlink>
    </w:p>
    <w:p w:rsidR="005B4A40" w:rsidRDefault="00094C4E">
      <w:pPr>
        <w:pStyle w:val="TOC4"/>
        <w:rPr>
          <w:rFonts w:cstheme="minorBidi"/>
          <w:rtl/>
        </w:rPr>
      </w:pPr>
      <w:hyperlink w:anchor="_Toc75433124" w:history="1">
        <w:r w:rsidR="005B4A40" w:rsidRPr="00BE67A3">
          <w:rPr>
            <w:rStyle w:val="Hyperlink"/>
            <w:rtl/>
          </w:rPr>
          <w:t>ד. השפעת תזכיר החוק המוצע על התקציב ועל התקן המנהלי של המשרד היוזם, משרדים אחרים ורשויות אחרות.</w:t>
        </w:r>
        <w:r w:rsidR="005B4A40">
          <w:rPr>
            <w:webHidden/>
            <w:rtl/>
          </w:rPr>
          <w:tab/>
        </w:r>
        <w:r w:rsidR="005B4A40">
          <w:rPr>
            <w:webHidden/>
            <w:rtl/>
          </w:rPr>
          <w:fldChar w:fldCharType="begin"/>
        </w:r>
        <w:r w:rsidR="005B4A40">
          <w:rPr>
            <w:webHidden/>
            <w:rtl/>
          </w:rPr>
          <w:instrText xml:space="preserve"> </w:instrText>
        </w:r>
        <w:r w:rsidR="005B4A40">
          <w:rPr>
            <w:webHidden/>
          </w:rPr>
          <w:instrText>PAGEREF</w:instrText>
        </w:r>
        <w:r w:rsidR="005B4A40">
          <w:rPr>
            <w:webHidden/>
            <w:rtl/>
          </w:rPr>
          <w:instrText xml:space="preserve"> _</w:instrText>
        </w:r>
        <w:r w:rsidR="005B4A40">
          <w:rPr>
            <w:webHidden/>
          </w:rPr>
          <w:instrText>Toc75433124 \h</w:instrText>
        </w:r>
        <w:r w:rsidR="005B4A40">
          <w:rPr>
            <w:webHidden/>
            <w:rtl/>
          </w:rPr>
          <w:instrText xml:space="preserve"> </w:instrText>
        </w:r>
        <w:r w:rsidR="005B4A40">
          <w:rPr>
            <w:webHidden/>
            <w:rtl/>
          </w:rPr>
        </w:r>
        <w:r w:rsidR="005B4A40">
          <w:rPr>
            <w:webHidden/>
            <w:rtl/>
          </w:rPr>
          <w:fldChar w:fldCharType="separate"/>
        </w:r>
        <w:r w:rsidR="00081A80">
          <w:rPr>
            <w:webHidden/>
            <w:rtl/>
          </w:rPr>
          <w:t>6</w:t>
        </w:r>
        <w:r w:rsidR="005B4A40">
          <w:rPr>
            <w:webHidden/>
            <w:rtl/>
          </w:rPr>
          <w:fldChar w:fldCharType="end"/>
        </w:r>
      </w:hyperlink>
    </w:p>
    <w:p w:rsidR="005B4A40" w:rsidRDefault="00094C4E">
      <w:pPr>
        <w:pStyle w:val="TOC4"/>
        <w:rPr>
          <w:rFonts w:cstheme="minorBidi"/>
          <w:rtl/>
        </w:rPr>
      </w:pPr>
      <w:hyperlink w:anchor="_Toc75433125" w:history="1">
        <w:r w:rsidR="005B4A40" w:rsidRPr="00BE67A3">
          <w:rPr>
            <w:rStyle w:val="Hyperlink"/>
            <w:rtl/>
          </w:rPr>
          <w:t>ה. להלן נוסח תזכיר החוק המוצע ודברי הסבר</w:t>
        </w:r>
        <w:r w:rsidR="005B4A40">
          <w:rPr>
            <w:webHidden/>
            <w:rtl/>
          </w:rPr>
          <w:tab/>
        </w:r>
        <w:r w:rsidR="005B4A40">
          <w:rPr>
            <w:webHidden/>
            <w:rtl/>
          </w:rPr>
          <w:fldChar w:fldCharType="begin"/>
        </w:r>
        <w:r w:rsidR="005B4A40">
          <w:rPr>
            <w:webHidden/>
            <w:rtl/>
          </w:rPr>
          <w:instrText xml:space="preserve"> </w:instrText>
        </w:r>
        <w:r w:rsidR="005B4A40">
          <w:rPr>
            <w:webHidden/>
          </w:rPr>
          <w:instrText>PAGEREF</w:instrText>
        </w:r>
        <w:r w:rsidR="005B4A40">
          <w:rPr>
            <w:webHidden/>
            <w:rtl/>
          </w:rPr>
          <w:instrText xml:space="preserve"> _</w:instrText>
        </w:r>
        <w:r w:rsidR="005B4A40">
          <w:rPr>
            <w:webHidden/>
          </w:rPr>
          <w:instrText>Toc75433125 \h</w:instrText>
        </w:r>
        <w:r w:rsidR="005B4A40">
          <w:rPr>
            <w:webHidden/>
            <w:rtl/>
          </w:rPr>
          <w:instrText xml:space="preserve"> </w:instrText>
        </w:r>
        <w:r w:rsidR="005B4A40">
          <w:rPr>
            <w:webHidden/>
            <w:rtl/>
          </w:rPr>
        </w:r>
        <w:r w:rsidR="005B4A40">
          <w:rPr>
            <w:webHidden/>
            <w:rtl/>
          </w:rPr>
          <w:fldChar w:fldCharType="separate"/>
        </w:r>
        <w:r w:rsidR="00081A80">
          <w:rPr>
            <w:webHidden/>
            <w:rtl/>
          </w:rPr>
          <w:t>6</w:t>
        </w:r>
        <w:r w:rsidR="005B4A40">
          <w:rPr>
            <w:webHidden/>
            <w:rtl/>
          </w:rPr>
          <w:fldChar w:fldCharType="end"/>
        </w:r>
      </w:hyperlink>
    </w:p>
    <w:p w:rsidR="005B4A40" w:rsidRDefault="00094C4E">
      <w:pPr>
        <w:pStyle w:val="TOC1"/>
        <w:rPr>
          <w:rFonts w:asciiTheme="minorHAnsi" w:eastAsiaTheme="minorEastAsia" w:hAnsiTheme="minorHAnsi" w:cstheme="minorBidi"/>
          <w:bCs w:val="0"/>
          <w:noProof/>
          <w:sz w:val="22"/>
          <w:rtl/>
        </w:rPr>
      </w:pPr>
      <w:hyperlink w:anchor="_Toc75433126" w:history="1">
        <w:r w:rsidR="005B4A40" w:rsidRPr="00BE67A3">
          <w:rPr>
            <w:rStyle w:val="Hyperlink"/>
            <w:noProof/>
            <w:rtl/>
          </w:rPr>
          <w:t>תזכיר חוק הפרות תעבורה מינהליות התשפ"א-2021</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Toc75433126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7</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27" w:history="1">
        <w:r w:rsidR="005B4A40" w:rsidRPr="00BE67A3">
          <w:rPr>
            <w:rStyle w:val="Hyperlink"/>
            <w:noProof/>
            <w:rtl/>
          </w:rPr>
          <w:t>הגדרות</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Toc75433127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7</w:t>
        </w:r>
        <w:r w:rsidR="005B4A40">
          <w:rPr>
            <w:noProof/>
            <w:webHidden/>
            <w:rtl/>
          </w:rPr>
          <w:fldChar w:fldCharType="end"/>
        </w:r>
      </w:hyperlink>
    </w:p>
    <w:p w:rsidR="005B4A40" w:rsidRDefault="00094C4E">
      <w:pPr>
        <w:pStyle w:val="TOC2"/>
        <w:rPr>
          <w:rFonts w:asciiTheme="minorHAnsi" w:eastAsiaTheme="minorEastAsia" w:hAnsiTheme="minorHAnsi" w:cstheme="minorBidi"/>
          <w:noProof/>
          <w:sz w:val="22"/>
          <w:rtl/>
        </w:rPr>
      </w:pPr>
      <w:hyperlink w:anchor="_Toc75433128" w:history="1">
        <w:r w:rsidR="005B4A40" w:rsidRPr="00BE67A3">
          <w:rPr>
            <w:rStyle w:val="Hyperlink"/>
            <w:noProof/>
            <w:rtl/>
          </w:rPr>
          <w:t>פרק א': הפרת תעבורה מינהלית</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Toc75433128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8</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29" w:history="1">
        <w:r w:rsidR="005B4A40" w:rsidRPr="00BE67A3">
          <w:rPr>
            <w:rStyle w:val="Hyperlink"/>
            <w:noProof/>
            <w:rtl/>
          </w:rPr>
          <w:t>הפרת תעבורה</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Toc75433129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8</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30" w:history="1">
        <w:r w:rsidR="005B4A40" w:rsidRPr="00BE67A3">
          <w:rPr>
            <w:rStyle w:val="Hyperlink"/>
            <w:noProof/>
            <w:rtl/>
          </w:rPr>
          <w:t>הודעה על הפרת תעבורה</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Toc75433130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9</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31" w:history="1">
        <w:r w:rsidR="005B4A40" w:rsidRPr="00BE67A3">
          <w:rPr>
            <w:rStyle w:val="Hyperlink"/>
            <w:noProof/>
            <w:rtl/>
          </w:rPr>
          <w:t>המצאת הודעת התשלום</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Toc75433131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10</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32" w:history="1">
        <w:r w:rsidR="005B4A40" w:rsidRPr="00BE67A3">
          <w:rPr>
            <w:rStyle w:val="Hyperlink"/>
            <w:noProof/>
            <w:rtl/>
          </w:rPr>
          <w:t>תיקון הודעת תשלום</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Toc75433132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10</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33" w:history="1">
        <w:r w:rsidR="005B4A40" w:rsidRPr="00BE67A3">
          <w:rPr>
            <w:rStyle w:val="Hyperlink"/>
            <w:noProof/>
            <w:rtl/>
          </w:rPr>
          <w:t>הסמכת גורם אכיפה שאינו שוטר</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Toc75433133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10</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34" w:history="1">
        <w:r w:rsidR="005B4A40" w:rsidRPr="00BE67A3">
          <w:rPr>
            <w:rStyle w:val="Hyperlink"/>
            <w:noProof/>
            <w:rtl/>
          </w:rPr>
          <w:t>תחולת הוראות</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Toc75433134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11</w:t>
        </w:r>
        <w:r w:rsidR="005B4A40">
          <w:rPr>
            <w:noProof/>
            <w:webHidden/>
            <w:rtl/>
          </w:rPr>
          <w:fldChar w:fldCharType="end"/>
        </w:r>
      </w:hyperlink>
    </w:p>
    <w:p w:rsidR="005B4A40" w:rsidRDefault="00094C4E">
      <w:pPr>
        <w:pStyle w:val="TOC2"/>
        <w:rPr>
          <w:rFonts w:asciiTheme="minorHAnsi" w:eastAsiaTheme="minorEastAsia" w:hAnsiTheme="minorHAnsi" w:cstheme="minorBidi"/>
          <w:noProof/>
          <w:sz w:val="22"/>
          <w:rtl/>
        </w:rPr>
      </w:pPr>
      <w:hyperlink w:anchor="_Toc75433135" w:history="1">
        <w:r w:rsidR="005B4A40" w:rsidRPr="00BE67A3">
          <w:rPr>
            <w:rStyle w:val="Hyperlink"/>
            <w:noProof/>
            <w:rtl/>
          </w:rPr>
          <w:t>פרק ב': הטלת קנס הפרה</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Toc75433135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11</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36" w:history="1">
        <w:r w:rsidR="005B4A40" w:rsidRPr="00BE67A3">
          <w:rPr>
            <w:rStyle w:val="Hyperlink"/>
            <w:noProof/>
            <w:rtl/>
          </w:rPr>
          <w:t>גובה קנס הפרה</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Toc75433136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11</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37" w:history="1">
        <w:r w:rsidR="005B4A40" w:rsidRPr="00BE67A3">
          <w:rPr>
            <w:rStyle w:val="Hyperlink"/>
            <w:noProof/>
            <w:rtl/>
          </w:rPr>
          <w:t>תשלום קנס הפרה</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Toc75433137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11</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38" w:history="1">
        <w:r w:rsidR="005B4A40" w:rsidRPr="00BE67A3">
          <w:rPr>
            <w:rStyle w:val="Hyperlink"/>
            <w:noProof/>
            <w:rtl/>
          </w:rPr>
          <w:t>בקשה לביטול החלטה</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Toc75433138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12</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39" w:history="1">
        <w:r w:rsidR="005B4A40" w:rsidRPr="00BE67A3">
          <w:rPr>
            <w:rStyle w:val="Hyperlink"/>
            <w:noProof/>
            <w:rtl/>
          </w:rPr>
          <w:t>תוספת פיגור על אי-תשלום קנס</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Toc75433139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13</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40" w:history="1">
        <w:r w:rsidR="005B4A40" w:rsidRPr="00BE67A3">
          <w:rPr>
            <w:rStyle w:val="Hyperlink"/>
            <w:noProof/>
            <w:rtl/>
          </w:rPr>
          <w:t>גבייה</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Toc75433140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13</w:t>
        </w:r>
        <w:r w:rsidR="005B4A40">
          <w:rPr>
            <w:noProof/>
            <w:webHidden/>
            <w:rtl/>
          </w:rPr>
          <w:fldChar w:fldCharType="end"/>
        </w:r>
      </w:hyperlink>
    </w:p>
    <w:p w:rsidR="005B4A40" w:rsidRDefault="00094C4E">
      <w:pPr>
        <w:pStyle w:val="TOC2"/>
        <w:rPr>
          <w:rFonts w:asciiTheme="minorHAnsi" w:eastAsiaTheme="minorEastAsia" w:hAnsiTheme="minorHAnsi" w:cstheme="minorBidi"/>
          <w:noProof/>
          <w:sz w:val="22"/>
          <w:rtl/>
        </w:rPr>
      </w:pPr>
      <w:hyperlink w:anchor="_Toc75433141" w:history="1">
        <w:r w:rsidR="005B4A40" w:rsidRPr="00BE67A3">
          <w:rPr>
            <w:rStyle w:val="Hyperlink"/>
            <w:noProof/>
            <w:rtl/>
          </w:rPr>
          <w:t>פרק ג': בית דין לתעבורה</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Toc75433141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13</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42" w:history="1">
        <w:r w:rsidR="005B4A40" w:rsidRPr="00BE67A3">
          <w:rPr>
            <w:rStyle w:val="Hyperlink"/>
            <w:noProof/>
            <w:rtl/>
          </w:rPr>
          <w:t>בית דין לתעבורה</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Toc75433142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14</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43" w:history="1">
        <w:r w:rsidR="005B4A40" w:rsidRPr="00BE67A3">
          <w:rPr>
            <w:rStyle w:val="Hyperlink"/>
            <w:noProof/>
            <w:rtl/>
          </w:rPr>
          <w:t>מינוי דיינים בבית דין לתעבורה</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Toc75433143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14</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44" w:history="1">
        <w:r w:rsidR="005B4A40" w:rsidRPr="00BE67A3">
          <w:rPr>
            <w:rStyle w:val="Hyperlink"/>
            <w:noProof/>
            <w:rtl/>
          </w:rPr>
          <w:t>דיין – עובד מדינה</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Toc75433144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14</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45" w:history="1">
        <w:r w:rsidR="005B4A40" w:rsidRPr="00BE67A3">
          <w:rPr>
            <w:rStyle w:val="Hyperlink"/>
            <w:noProof/>
            <w:rtl/>
          </w:rPr>
          <w:t>תקופת כהונה</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Toc75433145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14</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46" w:history="1">
        <w:r w:rsidR="005B4A40" w:rsidRPr="00BE67A3">
          <w:rPr>
            <w:rStyle w:val="Hyperlink"/>
            <w:noProof/>
            <w:rtl/>
          </w:rPr>
          <w:t>הפסקת כהונה לפני תום תקופת הכהונה</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Toc75433146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14</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47" w:history="1">
        <w:r w:rsidR="005B4A40" w:rsidRPr="00BE67A3">
          <w:rPr>
            <w:rStyle w:val="Hyperlink"/>
            <w:noProof/>
            <w:rtl/>
          </w:rPr>
          <w:t>סמכות ראש בית דין לתעבורה</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Toc75433147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15</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48" w:history="1">
        <w:r w:rsidR="005B4A40" w:rsidRPr="00BE67A3">
          <w:rPr>
            <w:rStyle w:val="Hyperlink"/>
            <w:noProof/>
            <w:rtl/>
          </w:rPr>
          <w:t>ערר</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Toc75433148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16</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49" w:history="1">
        <w:r w:rsidR="005B4A40" w:rsidRPr="00BE67A3">
          <w:rPr>
            <w:rStyle w:val="Hyperlink"/>
            <w:noProof/>
            <w:rtl/>
          </w:rPr>
          <w:t>אופן ניהול ההליך</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Toc75433149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16</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50" w:history="1">
        <w:r w:rsidR="005B4A40" w:rsidRPr="00BE67A3">
          <w:rPr>
            <w:rStyle w:val="Hyperlink"/>
            <w:noProof/>
            <w:rtl/>
          </w:rPr>
          <w:t>דיון על-יסוד הכתב</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Toc75433150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16</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51" w:history="1">
        <w:r w:rsidR="005B4A40" w:rsidRPr="00BE67A3">
          <w:rPr>
            <w:rStyle w:val="Hyperlink"/>
            <w:noProof/>
            <w:rtl/>
          </w:rPr>
          <w:t>חריג לקיום דיון על-יסוד הכתב – דיון באמצעים טכנולוגים</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Toc75433151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16</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52" w:history="1">
        <w:r w:rsidR="005B4A40" w:rsidRPr="00BE67A3">
          <w:rPr>
            <w:rStyle w:val="Hyperlink"/>
            <w:noProof/>
            <w:rtl/>
          </w:rPr>
          <w:t>סמכות בערר</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Toc75433152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16</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53" w:history="1">
        <w:r w:rsidR="005B4A40" w:rsidRPr="00BE67A3">
          <w:rPr>
            <w:rStyle w:val="Hyperlink"/>
            <w:noProof/>
            <w:rtl/>
          </w:rPr>
          <w:t>סמכות הדיין לעיין במרשמים</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Toc75433153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17</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54" w:history="1">
        <w:r w:rsidR="005B4A40" w:rsidRPr="00BE67A3">
          <w:rPr>
            <w:rStyle w:val="Hyperlink"/>
            <w:noProof/>
            <w:rtl/>
          </w:rPr>
          <w:t>תחולת הוראות חוק בתי דין מינהליים</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Toc75433154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17</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55" w:history="1">
        <w:r w:rsidR="005B4A40" w:rsidRPr="00BE67A3">
          <w:rPr>
            <w:rStyle w:val="Hyperlink"/>
            <w:noProof/>
            <w:rtl/>
          </w:rPr>
          <w:t>ערעור על החלטת בית הדין לתעבורה</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Toc75433155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17</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56" w:history="1">
        <w:r w:rsidR="005B4A40" w:rsidRPr="00BE67A3">
          <w:rPr>
            <w:rStyle w:val="Hyperlink"/>
            <w:noProof/>
            <w:rtl/>
          </w:rPr>
          <w:t>רשות ערעור על פסק דין של בית משפט שלום לענייני תעבורה</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Toc75433156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17</w:t>
        </w:r>
        <w:r w:rsidR="005B4A40">
          <w:rPr>
            <w:noProof/>
            <w:webHidden/>
            <w:rtl/>
          </w:rPr>
          <w:fldChar w:fldCharType="end"/>
        </w:r>
      </w:hyperlink>
    </w:p>
    <w:p w:rsidR="005B4A40" w:rsidRDefault="00094C4E">
      <w:pPr>
        <w:pStyle w:val="TOC2"/>
        <w:rPr>
          <w:rFonts w:asciiTheme="minorHAnsi" w:eastAsiaTheme="minorEastAsia" w:hAnsiTheme="minorHAnsi" w:cstheme="minorBidi"/>
          <w:noProof/>
          <w:sz w:val="22"/>
          <w:rtl/>
        </w:rPr>
      </w:pPr>
      <w:hyperlink w:anchor="_Toc75433157" w:history="1">
        <w:r w:rsidR="005B4A40" w:rsidRPr="00BE67A3">
          <w:rPr>
            <w:rStyle w:val="Hyperlink"/>
            <w:noProof/>
            <w:rtl/>
          </w:rPr>
          <w:t>פרק ד': מרשם התעבורה המינהלי</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Toc75433157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17</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58" w:history="1">
        <w:r w:rsidR="005B4A40" w:rsidRPr="00BE67A3">
          <w:rPr>
            <w:rStyle w:val="Hyperlink"/>
            <w:noProof/>
            <w:rtl/>
          </w:rPr>
          <w:t>מרשם התעבורה המינהלי</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Toc75433158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17</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59" w:history="1">
        <w:r w:rsidR="005B4A40" w:rsidRPr="00BE67A3">
          <w:rPr>
            <w:rStyle w:val="Hyperlink"/>
            <w:noProof/>
            <w:rtl/>
          </w:rPr>
          <w:t>חיסיון המרשם</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Toc75433159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18</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60" w:history="1">
        <w:r w:rsidR="005B4A40" w:rsidRPr="00BE67A3">
          <w:rPr>
            <w:rStyle w:val="Hyperlink"/>
            <w:noProof/>
            <w:rtl/>
          </w:rPr>
          <w:t>מסירת מידע ממרשם התעבורה המינהלי</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Toc75433160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18</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61" w:history="1">
        <w:r w:rsidR="005B4A40" w:rsidRPr="00BE67A3">
          <w:rPr>
            <w:rStyle w:val="Hyperlink"/>
            <w:noProof/>
            <w:rtl/>
          </w:rPr>
          <w:t>עיון במרשם התעבורה המינהלי</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Toc75433161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18</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62" w:history="1">
        <w:r w:rsidR="005B4A40" w:rsidRPr="00BE67A3">
          <w:rPr>
            <w:rStyle w:val="Hyperlink"/>
            <w:noProof/>
            <w:rtl/>
          </w:rPr>
          <w:t>מחיקת פרט רישום</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Toc75433162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18</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63" w:history="1">
        <w:r w:rsidR="005B4A40" w:rsidRPr="00BE67A3">
          <w:rPr>
            <w:rStyle w:val="Hyperlink"/>
            <w:noProof/>
            <w:rtl/>
          </w:rPr>
          <w:t>שמירת דינים</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Toc75433163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19</w:t>
        </w:r>
        <w:r w:rsidR="005B4A40">
          <w:rPr>
            <w:noProof/>
            <w:webHidden/>
            <w:rtl/>
          </w:rPr>
          <w:fldChar w:fldCharType="end"/>
        </w:r>
      </w:hyperlink>
    </w:p>
    <w:p w:rsidR="005B4A40" w:rsidRDefault="00094C4E">
      <w:pPr>
        <w:pStyle w:val="TOC2"/>
        <w:rPr>
          <w:rFonts w:asciiTheme="minorHAnsi" w:eastAsiaTheme="minorEastAsia" w:hAnsiTheme="minorHAnsi" w:cstheme="minorBidi"/>
          <w:noProof/>
          <w:sz w:val="22"/>
          <w:rtl/>
        </w:rPr>
      </w:pPr>
      <w:hyperlink w:anchor="_Toc75433164" w:history="1">
        <w:r w:rsidR="005B4A40" w:rsidRPr="00BE67A3">
          <w:rPr>
            <w:rStyle w:val="Hyperlink"/>
            <w:noProof/>
            <w:rtl/>
          </w:rPr>
          <w:t>פרק ה': הוראות נוספות</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Toc75433164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19</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65" w:history="1">
        <w:r w:rsidR="005B4A40" w:rsidRPr="00BE67A3">
          <w:rPr>
            <w:rStyle w:val="Hyperlink"/>
            <w:noProof/>
            <w:rtl/>
          </w:rPr>
          <w:t>התיישנות</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Toc75433165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19</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66" w:history="1">
        <w:r w:rsidR="005B4A40" w:rsidRPr="00BE67A3">
          <w:rPr>
            <w:rStyle w:val="Hyperlink"/>
            <w:noProof/>
            <w:rtl/>
          </w:rPr>
          <w:t>ביצוע ותקנות</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Toc75433166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19</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67" w:history="1">
        <w:r w:rsidR="005B4A40" w:rsidRPr="00BE67A3">
          <w:rPr>
            <w:rStyle w:val="Hyperlink"/>
            <w:noProof/>
            <w:rtl/>
          </w:rPr>
          <w:t>תיקון חוק בתי דין מינהליים</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Toc75433167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20</w:t>
        </w:r>
        <w:r w:rsidR="005B4A40">
          <w:rPr>
            <w:noProof/>
            <w:webHidden/>
            <w:rtl/>
          </w:rPr>
          <w:fldChar w:fldCharType="end"/>
        </w:r>
      </w:hyperlink>
    </w:p>
    <w:p w:rsidR="005B4A40" w:rsidRDefault="00094C4E">
      <w:pPr>
        <w:pStyle w:val="TOC2"/>
        <w:rPr>
          <w:rFonts w:asciiTheme="minorHAnsi" w:eastAsiaTheme="minorEastAsia" w:hAnsiTheme="minorHAnsi" w:cstheme="minorBidi"/>
          <w:noProof/>
          <w:sz w:val="22"/>
          <w:rtl/>
        </w:rPr>
      </w:pPr>
      <w:hyperlink w:anchor="_Toc75433168" w:history="1">
        <w:r w:rsidR="005B4A40" w:rsidRPr="00BE67A3">
          <w:rPr>
            <w:rStyle w:val="Hyperlink"/>
            <w:noProof/>
            <w:rtl/>
          </w:rPr>
          <w:t>"תוספת שנייה</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Toc75433168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22</w:t>
        </w:r>
        <w:r w:rsidR="005B4A40">
          <w:rPr>
            <w:noProof/>
            <w:webHidden/>
            <w:rtl/>
          </w:rPr>
          <w:fldChar w:fldCharType="end"/>
        </w:r>
      </w:hyperlink>
    </w:p>
    <w:p w:rsidR="005B4A40" w:rsidRDefault="00094C4E">
      <w:pPr>
        <w:pStyle w:val="TOC2"/>
        <w:rPr>
          <w:rFonts w:asciiTheme="minorHAnsi" w:eastAsiaTheme="minorEastAsia" w:hAnsiTheme="minorHAnsi" w:cstheme="minorBidi"/>
          <w:noProof/>
          <w:sz w:val="22"/>
          <w:rtl/>
        </w:rPr>
      </w:pPr>
      <w:hyperlink w:anchor="_Toc75433169" w:history="1">
        <w:r w:rsidR="005B4A40" w:rsidRPr="00BE67A3">
          <w:rPr>
            <w:rStyle w:val="Hyperlink"/>
            <w:noProof/>
            <w:rtl/>
          </w:rPr>
          <w:t>(סעיף 14א)</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Toc75433169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22</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70" w:history="1">
        <w:r w:rsidR="005B4A40" w:rsidRPr="00BE67A3">
          <w:rPr>
            <w:rStyle w:val="Hyperlink"/>
            <w:noProof/>
            <w:rtl/>
          </w:rPr>
          <w:t>תיקון חוק בתי משפט לענינים מינהליים</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Toc75433170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22</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71" w:history="1">
        <w:r w:rsidR="005B4A40" w:rsidRPr="00BE67A3">
          <w:rPr>
            <w:rStyle w:val="Hyperlink"/>
            <w:noProof/>
            <w:rtl/>
          </w:rPr>
          <w:t>תיקון חוק סדר הדין הפלילי [נוסח משולב]</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Toc75433171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22</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72" w:history="1">
        <w:r w:rsidR="005B4A40" w:rsidRPr="00BE67A3">
          <w:rPr>
            <w:rStyle w:val="Hyperlink"/>
            <w:noProof/>
            <w:rtl/>
          </w:rPr>
          <w:t>תיקון פקודת התעבורה</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Toc75433172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22</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73" w:history="1">
        <w:r w:rsidR="005B4A40" w:rsidRPr="00BE67A3">
          <w:rPr>
            <w:rStyle w:val="Hyperlink"/>
            <w:noProof/>
            <w:rtl/>
          </w:rPr>
          <w:t>תיקון חוק רישוי שירותים ומקצועות בענף הרכב</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Toc75433173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23</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74" w:history="1">
        <w:r w:rsidR="005B4A40" w:rsidRPr="00BE67A3">
          <w:rPr>
            <w:rStyle w:val="Hyperlink"/>
            <w:noProof/>
            <w:rtl/>
          </w:rPr>
          <w:t>תיקון חוק לייעול הפיקוח והאכיפה העירוניים ברשויות המקומיות (תעבורה)</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Toc75433174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24</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75" w:history="1">
        <w:r w:rsidR="005B4A40" w:rsidRPr="00BE67A3">
          <w:rPr>
            <w:rStyle w:val="Hyperlink"/>
            <w:noProof/>
            <w:rtl/>
          </w:rPr>
          <w:t>חוק המרכז לגביית קנסות</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Toc75433175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24</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76" w:history="1">
        <w:r w:rsidR="005B4A40" w:rsidRPr="00BE67A3">
          <w:rPr>
            <w:rStyle w:val="Hyperlink"/>
            <w:noProof/>
            <w:rtl/>
          </w:rPr>
          <w:t>תחילה</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Toc75433176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24</w:t>
        </w:r>
        <w:r w:rsidR="005B4A40">
          <w:rPr>
            <w:noProof/>
            <w:webHidden/>
            <w:rtl/>
          </w:rPr>
          <w:fldChar w:fldCharType="end"/>
        </w:r>
      </w:hyperlink>
    </w:p>
    <w:p w:rsidR="005B4A40" w:rsidRDefault="00094C4E">
      <w:pPr>
        <w:pStyle w:val="TOC3"/>
        <w:rPr>
          <w:rFonts w:asciiTheme="minorHAnsi" w:eastAsiaTheme="minorEastAsia" w:hAnsiTheme="minorHAnsi" w:cstheme="minorBidi"/>
          <w:noProof/>
          <w:sz w:val="22"/>
          <w:rtl/>
        </w:rPr>
      </w:pPr>
      <w:hyperlink w:anchor="_Toc75433177" w:history="1">
        <w:r w:rsidR="005B4A40" w:rsidRPr="00BE67A3">
          <w:rPr>
            <w:rStyle w:val="Hyperlink"/>
            <w:noProof/>
            <w:rtl/>
          </w:rPr>
          <w:t>תחולה והוראת מעבר</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Toc75433177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24</w:t>
        </w:r>
        <w:r w:rsidR="005B4A40">
          <w:rPr>
            <w:noProof/>
            <w:webHidden/>
            <w:rtl/>
          </w:rPr>
          <w:fldChar w:fldCharType="end"/>
        </w:r>
      </w:hyperlink>
    </w:p>
    <w:p w:rsidR="005B4A40" w:rsidRDefault="00094C4E">
      <w:pPr>
        <w:pStyle w:val="TOC2"/>
        <w:rPr>
          <w:rFonts w:asciiTheme="minorHAnsi" w:eastAsiaTheme="minorEastAsia" w:hAnsiTheme="minorHAnsi" w:cstheme="minorBidi"/>
          <w:noProof/>
          <w:sz w:val="22"/>
          <w:rtl/>
        </w:rPr>
      </w:pPr>
      <w:hyperlink w:anchor="_Toc75433178" w:history="1">
        <w:r w:rsidR="005B4A40" w:rsidRPr="00BE67A3">
          <w:rPr>
            <w:rStyle w:val="Hyperlink"/>
            <w:noProof/>
            <w:rtl/>
          </w:rPr>
          <w:t>תוספת ראשונה</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Toc75433178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24</w:t>
        </w:r>
        <w:r w:rsidR="005B4A40">
          <w:rPr>
            <w:noProof/>
            <w:webHidden/>
            <w:rtl/>
          </w:rPr>
          <w:fldChar w:fldCharType="end"/>
        </w:r>
      </w:hyperlink>
    </w:p>
    <w:p w:rsidR="005B4A40" w:rsidRDefault="00094C4E">
      <w:pPr>
        <w:pStyle w:val="TOC2"/>
        <w:rPr>
          <w:rFonts w:asciiTheme="minorHAnsi" w:eastAsiaTheme="minorEastAsia" w:hAnsiTheme="minorHAnsi" w:cstheme="minorBidi"/>
          <w:noProof/>
          <w:sz w:val="22"/>
          <w:rtl/>
        </w:rPr>
      </w:pPr>
      <w:hyperlink w:anchor="_Toc75433179" w:history="1">
        <w:r w:rsidR="005B4A40" w:rsidRPr="00BE67A3">
          <w:rPr>
            <w:rStyle w:val="Hyperlink"/>
            <w:noProof/>
            <w:rtl/>
          </w:rPr>
          <w:t>(סעיף 2)</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Toc75433179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25</w:t>
        </w:r>
        <w:r w:rsidR="005B4A40">
          <w:rPr>
            <w:noProof/>
            <w:webHidden/>
            <w:rtl/>
          </w:rPr>
          <w:fldChar w:fldCharType="end"/>
        </w:r>
      </w:hyperlink>
    </w:p>
    <w:p w:rsidR="005B4A40" w:rsidRDefault="00094C4E">
      <w:pPr>
        <w:pStyle w:val="TOC2"/>
        <w:rPr>
          <w:rFonts w:asciiTheme="minorHAnsi" w:eastAsiaTheme="minorEastAsia" w:hAnsiTheme="minorHAnsi" w:cstheme="minorBidi"/>
          <w:noProof/>
          <w:sz w:val="22"/>
          <w:rtl/>
        </w:rPr>
      </w:pPr>
      <w:hyperlink w:anchor="_Toc75433180" w:history="1">
        <w:r w:rsidR="005B4A40" w:rsidRPr="00BE67A3">
          <w:rPr>
            <w:rStyle w:val="Hyperlink"/>
            <w:noProof/>
            <w:rtl/>
          </w:rPr>
          <w:t>תוספת שנייה</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Toc75433180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25</w:t>
        </w:r>
        <w:r w:rsidR="005B4A40">
          <w:rPr>
            <w:noProof/>
            <w:webHidden/>
            <w:rtl/>
          </w:rPr>
          <w:fldChar w:fldCharType="end"/>
        </w:r>
      </w:hyperlink>
    </w:p>
    <w:p w:rsidR="005B4A40" w:rsidRDefault="00094C4E">
      <w:pPr>
        <w:pStyle w:val="TOC2"/>
        <w:rPr>
          <w:rFonts w:asciiTheme="minorHAnsi" w:eastAsiaTheme="minorEastAsia" w:hAnsiTheme="minorHAnsi" w:cstheme="minorBidi"/>
          <w:noProof/>
          <w:sz w:val="22"/>
          <w:rtl/>
        </w:rPr>
      </w:pPr>
      <w:hyperlink w:anchor="_Toc75433181" w:history="1">
        <w:r w:rsidR="005B4A40" w:rsidRPr="00BE67A3">
          <w:rPr>
            <w:rStyle w:val="Hyperlink"/>
            <w:noProof/>
            <w:rtl/>
          </w:rPr>
          <w:t>(סעיף 2)</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Toc75433181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25</w:t>
        </w:r>
        <w:r w:rsidR="005B4A40">
          <w:rPr>
            <w:noProof/>
            <w:webHidden/>
            <w:rtl/>
          </w:rPr>
          <w:fldChar w:fldCharType="end"/>
        </w:r>
      </w:hyperlink>
    </w:p>
    <w:p w:rsidR="005B4A40" w:rsidRDefault="00094C4E">
      <w:pPr>
        <w:pStyle w:val="TOC2"/>
        <w:rPr>
          <w:rFonts w:asciiTheme="minorHAnsi" w:eastAsiaTheme="minorEastAsia" w:hAnsiTheme="minorHAnsi" w:cstheme="minorBidi"/>
          <w:noProof/>
          <w:sz w:val="22"/>
          <w:rtl/>
        </w:rPr>
      </w:pPr>
      <w:hyperlink w:anchor="_Toc75433182" w:history="1">
        <w:r w:rsidR="005B4A40" w:rsidRPr="00BE67A3">
          <w:rPr>
            <w:rStyle w:val="Hyperlink"/>
            <w:noProof/>
            <w:rtl/>
          </w:rPr>
          <w:t>תוספת שלישית</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Toc75433182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25</w:t>
        </w:r>
        <w:r w:rsidR="005B4A40">
          <w:rPr>
            <w:noProof/>
            <w:webHidden/>
            <w:rtl/>
          </w:rPr>
          <w:fldChar w:fldCharType="end"/>
        </w:r>
      </w:hyperlink>
    </w:p>
    <w:p w:rsidR="005B4A40" w:rsidRDefault="00094C4E">
      <w:pPr>
        <w:pStyle w:val="TOC2"/>
        <w:rPr>
          <w:rFonts w:asciiTheme="minorHAnsi" w:eastAsiaTheme="minorEastAsia" w:hAnsiTheme="minorHAnsi" w:cstheme="minorBidi"/>
          <w:noProof/>
          <w:sz w:val="22"/>
          <w:rtl/>
        </w:rPr>
      </w:pPr>
      <w:hyperlink w:anchor="_Toc75433183" w:history="1">
        <w:r w:rsidR="005B4A40" w:rsidRPr="00BE67A3">
          <w:rPr>
            <w:rStyle w:val="Hyperlink"/>
            <w:noProof/>
            <w:rtl/>
          </w:rPr>
          <w:t>(סעיף 6)</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Toc75433183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25</w:t>
        </w:r>
        <w:r w:rsidR="005B4A40">
          <w:rPr>
            <w:noProof/>
            <w:webHidden/>
            <w:rtl/>
          </w:rPr>
          <w:fldChar w:fldCharType="end"/>
        </w:r>
      </w:hyperlink>
    </w:p>
    <w:p w:rsidR="005B4A40" w:rsidRDefault="00094C4E">
      <w:pPr>
        <w:pStyle w:val="TOC2"/>
        <w:rPr>
          <w:rFonts w:asciiTheme="minorHAnsi" w:eastAsiaTheme="minorEastAsia" w:hAnsiTheme="minorHAnsi" w:cstheme="minorBidi"/>
          <w:noProof/>
          <w:sz w:val="22"/>
          <w:rtl/>
        </w:rPr>
      </w:pPr>
      <w:hyperlink w:anchor="_Toc75433184" w:history="1">
        <w:r w:rsidR="005B4A40" w:rsidRPr="00BE67A3">
          <w:rPr>
            <w:rStyle w:val="Hyperlink"/>
            <w:noProof/>
            <w:rtl/>
          </w:rPr>
          <w:t>תוספת רביעית</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Toc75433184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26</w:t>
        </w:r>
        <w:r w:rsidR="005B4A40">
          <w:rPr>
            <w:noProof/>
            <w:webHidden/>
            <w:rtl/>
          </w:rPr>
          <w:fldChar w:fldCharType="end"/>
        </w:r>
      </w:hyperlink>
    </w:p>
    <w:p w:rsidR="005B4A40" w:rsidRDefault="00094C4E">
      <w:pPr>
        <w:pStyle w:val="TOC2"/>
        <w:rPr>
          <w:rFonts w:asciiTheme="minorHAnsi" w:eastAsiaTheme="minorEastAsia" w:hAnsiTheme="minorHAnsi" w:cstheme="minorBidi"/>
          <w:noProof/>
          <w:sz w:val="22"/>
          <w:rtl/>
        </w:rPr>
      </w:pPr>
      <w:hyperlink w:anchor="_Toc75433185" w:history="1">
        <w:r w:rsidR="005B4A40" w:rsidRPr="00BE67A3">
          <w:rPr>
            <w:rStyle w:val="Hyperlink"/>
            <w:noProof/>
            <w:rtl/>
          </w:rPr>
          <w:t>(סעיף 30)</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Toc75433185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26</w:t>
        </w:r>
        <w:r w:rsidR="005B4A40">
          <w:rPr>
            <w:noProof/>
            <w:webHidden/>
            <w:rtl/>
          </w:rPr>
          <w:fldChar w:fldCharType="end"/>
        </w:r>
      </w:hyperlink>
    </w:p>
    <w:p w:rsidR="005B4A40" w:rsidRDefault="00094C4E">
      <w:pPr>
        <w:pStyle w:val="TOC2"/>
        <w:rPr>
          <w:rFonts w:asciiTheme="minorHAnsi" w:eastAsiaTheme="minorEastAsia" w:hAnsiTheme="minorHAnsi" w:cstheme="minorBidi"/>
          <w:noProof/>
          <w:sz w:val="22"/>
          <w:rtl/>
        </w:rPr>
      </w:pPr>
      <w:hyperlink w:anchor="_Toc75433186" w:history="1">
        <w:r w:rsidR="005B4A40" w:rsidRPr="00BE67A3">
          <w:rPr>
            <w:rStyle w:val="Hyperlink"/>
            <w:noProof/>
            <w:rtl/>
          </w:rPr>
          <w:t>דברי הסבר</w:t>
        </w:r>
        <w:r w:rsidR="005B4A40">
          <w:rPr>
            <w:noProof/>
            <w:webHidden/>
            <w:rtl/>
          </w:rPr>
          <w:tab/>
        </w:r>
        <w:r w:rsidR="005B4A40">
          <w:rPr>
            <w:noProof/>
            <w:webHidden/>
            <w:rtl/>
          </w:rPr>
          <w:fldChar w:fldCharType="begin"/>
        </w:r>
        <w:r w:rsidR="005B4A40">
          <w:rPr>
            <w:noProof/>
            <w:webHidden/>
            <w:rtl/>
          </w:rPr>
          <w:instrText xml:space="preserve"> </w:instrText>
        </w:r>
        <w:r w:rsidR="005B4A40">
          <w:rPr>
            <w:noProof/>
            <w:webHidden/>
          </w:rPr>
          <w:instrText>PAGEREF</w:instrText>
        </w:r>
        <w:r w:rsidR="005B4A40">
          <w:rPr>
            <w:noProof/>
            <w:webHidden/>
            <w:rtl/>
          </w:rPr>
          <w:instrText xml:space="preserve"> _</w:instrText>
        </w:r>
        <w:r w:rsidR="005B4A40">
          <w:rPr>
            <w:noProof/>
            <w:webHidden/>
          </w:rPr>
          <w:instrText>Toc75433186 \h</w:instrText>
        </w:r>
        <w:r w:rsidR="005B4A40">
          <w:rPr>
            <w:noProof/>
            <w:webHidden/>
            <w:rtl/>
          </w:rPr>
          <w:instrText xml:space="preserve"> </w:instrText>
        </w:r>
        <w:r w:rsidR="005B4A40">
          <w:rPr>
            <w:noProof/>
            <w:webHidden/>
            <w:rtl/>
          </w:rPr>
        </w:r>
        <w:r w:rsidR="005B4A40">
          <w:rPr>
            <w:noProof/>
            <w:webHidden/>
            <w:rtl/>
          </w:rPr>
          <w:fldChar w:fldCharType="separate"/>
        </w:r>
        <w:r w:rsidR="00081A80">
          <w:rPr>
            <w:noProof/>
            <w:webHidden/>
            <w:rtl/>
          </w:rPr>
          <w:t>26</w:t>
        </w:r>
        <w:r w:rsidR="005B4A40">
          <w:rPr>
            <w:noProof/>
            <w:webHidden/>
            <w:rtl/>
          </w:rPr>
          <w:fldChar w:fldCharType="end"/>
        </w:r>
      </w:hyperlink>
    </w:p>
    <w:p w:rsidR="00BA682A" w:rsidRDefault="00BA682A" w:rsidP="00BA682A">
      <w:pPr>
        <w:rPr>
          <w:snapToGrid w:val="0"/>
          <w:rtl/>
        </w:rPr>
      </w:pPr>
      <w:r>
        <w:rPr>
          <w:rtl/>
        </w:rPr>
        <w:fldChar w:fldCharType="end"/>
      </w:r>
      <w:r>
        <w:rPr>
          <w:rtl/>
        </w:rPr>
        <w:br w:type="page"/>
      </w:r>
    </w:p>
    <w:p w:rsidR="00347EE8" w:rsidRDefault="00347EE8" w:rsidP="000A70C2">
      <w:pPr>
        <w:pStyle w:val="1"/>
        <w:keepNext w:val="0"/>
        <w:keepLines w:val="0"/>
      </w:pPr>
      <w:bookmarkStart w:id="1" w:name="_Toc74773755"/>
      <w:bookmarkStart w:id="2" w:name="_Toc75433120"/>
      <w:r>
        <w:rPr>
          <w:rtl/>
        </w:rPr>
        <w:t>תזכיר חוק</w:t>
      </w:r>
      <w:bookmarkEnd w:id="0"/>
      <w:bookmarkEnd w:id="1"/>
      <w:bookmarkEnd w:id="2"/>
    </w:p>
    <w:p w:rsidR="00347EE8" w:rsidRDefault="00347EE8" w:rsidP="000A70C2">
      <w:pPr>
        <w:rPr>
          <w:rtl/>
        </w:rPr>
      </w:pPr>
    </w:p>
    <w:p w:rsidR="00347EE8" w:rsidRDefault="00347EE8" w:rsidP="000A70C2">
      <w:pPr>
        <w:pStyle w:val="4"/>
        <w:rPr>
          <w:rtl/>
        </w:rPr>
      </w:pPr>
      <w:bookmarkStart w:id="3" w:name="_Toc75433121"/>
      <w:r>
        <w:rPr>
          <w:rFonts w:hint="cs"/>
          <w:rtl/>
        </w:rPr>
        <w:t>שם החוק המוצע</w:t>
      </w:r>
      <w:bookmarkEnd w:id="3"/>
    </w:p>
    <w:p w:rsidR="00347EE8" w:rsidRDefault="00347EE8" w:rsidP="00347EE8">
      <w:r>
        <w:rPr>
          <w:rFonts w:hint="cs"/>
          <w:rtl/>
        </w:rPr>
        <w:t xml:space="preserve">חוק הפרות תעבורה </w:t>
      </w:r>
      <w:proofErr w:type="spellStart"/>
      <w:r>
        <w:rPr>
          <w:rFonts w:hint="cs"/>
          <w:rtl/>
        </w:rPr>
        <w:t>מינהליות</w:t>
      </w:r>
      <w:proofErr w:type="spellEnd"/>
      <w:r>
        <w:rPr>
          <w:rFonts w:hint="cs"/>
          <w:rtl/>
        </w:rPr>
        <w:t>, התשפ"א-2021.</w:t>
      </w:r>
    </w:p>
    <w:p w:rsidR="00347EE8" w:rsidRDefault="00347EE8" w:rsidP="000A70C2">
      <w:pPr>
        <w:rPr>
          <w:rtl/>
        </w:rPr>
      </w:pPr>
    </w:p>
    <w:p w:rsidR="00347EE8" w:rsidRDefault="00347EE8" w:rsidP="000A70C2">
      <w:pPr>
        <w:pStyle w:val="4"/>
        <w:rPr>
          <w:rtl/>
        </w:rPr>
      </w:pPr>
      <w:bookmarkStart w:id="4" w:name="_Toc75433122"/>
      <w:r>
        <w:rPr>
          <w:rFonts w:hint="cs"/>
          <w:rtl/>
        </w:rPr>
        <w:t>מטרת החוק המוצע, הצורך בו, עיקרי הוראותיו והשפעתו על הדין הקיים</w:t>
      </w:r>
      <w:bookmarkEnd w:id="4"/>
    </w:p>
    <w:p w:rsidR="00347EE8" w:rsidRDefault="00347EE8" w:rsidP="00347EE8">
      <w:pPr>
        <w:rPr>
          <w:rFonts w:asciiTheme="minorHAnsi" w:hAnsiTheme="minorHAnsi"/>
          <w:rtl/>
        </w:rPr>
      </w:pPr>
      <w:r w:rsidRPr="00DD0F4F">
        <w:rPr>
          <w:rFonts w:eastAsia="Calibri" w:hint="cs"/>
          <w:rtl/>
        </w:rPr>
        <w:t xml:space="preserve">מטרת החוק המוצע </w:t>
      </w:r>
      <w:r>
        <w:rPr>
          <w:rFonts w:hint="cs"/>
          <w:rtl/>
        </w:rPr>
        <w:t xml:space="preserve">להפוך </w:t>
      </w:r>
      <w:r w:rsidRPr="00B114DA">
        <w:rPr>
          <w:rtl/>
        </w:rPr>
        <w:t xml:space="preserve">עבירות תעבורה מסוג </w:t>
      </w:r>
      <w:r>
        <w:rPr>
          <w:rtl/>
        </w:rPr>
        <w:t xml:space="preserve">"ברירת משפט" </w:t>
      </w:r>
      <w:r>
        <w:rPr>
          <w:rFonts w:hint="cs"/>
          <w:rtl/>
        </w:rPr>
        <w:t>להפרות תעבורה</w:t>
      </w:r>
      <w:r>
        <w:rPr>
          <w:rtl/>
        </w:rPr>
        <w:t xml:space="preserve"> </w:t>
      </w:r>
      <w:proofErr w:type="spellStart"/>
      <w:r>
        <w:rPr>
          <w:rFonts w:hint="cs"/>
          <w:rtl/>
        </w:rPr>
        <w:t>מינהליות</w:t>
      </w:r>
      <w:proofErr w:type="spellEnd"/>
      <w:r>
        <w:rPr>
          <w:rFonts w:hint="cs"/>
          <w:rtl/>
        </w:rPr>
        <w:t xml:space="preserve"> </w:t>
      </w:r>
      <w:r w:rsidRPr="00B114DA">
        <w:rPr>
          <w:rtl/>
        </w:rPr>
        <w:t xml:space="preserve">שיטופלו במישור </w:t>
      </w:r>
      <w:proofErr w:type="spellStart"/>
      <w:r w:rsidRPr="00B114DA">
        <w:rPr>
          <w:rtl/>
        </w:rPr>
        <w:t>המינהלי</w:t>
      </w:r>
      <w:proofErr w:type="spellEnd"/>
      <w:r>
        <w:rPr>
          <w:rtl/>
        </w:rPr>
        <w:t xml:space="preserve"> (להלן</w:t>
      </w:r>
      <w:r>
        <w:rPr>
          <w:rFonts w:hint="cs"/>
          <w:rtl/>
        </w:rPr>
        <w:t>:</w:t>
      </w:r>
      <w:r w:rsidRPr="00B114DA">
        <w:rPr>
          <w:rtl/>
        </w:rPr>
        <w:t xml:space="preserve"> </w:t>
      </w:r>
      <w:r w:rsidRPr="00B114DA">
        <w:rPr>
          <w:rFonts w:hint="cs"/>
          <w:b/>
          <w:bCs/>
          <w:rtl/>
        </w:rPr>
        <w:t>"</w:t>
      </w:r>
      <w:r w:rsidRPr="00B114DA">
        <w:rPr>
          <w:b/>
          <w:bCs/>
          <w:rtl/>
        </w:rPr>
        <w:t>הפרת תעבורה</w:t>
      </w:r>
      <w:r>
        <w:rPr>
          <w:rFonts w:hint="cs"/>
          <w:b/>
          <w:bCs/>
          <w:rtl/>
        </w:rPr>
        <w:t>"</w:t>
      </w:r>
      <w:r w:rsidRPr="00B114DA">
        <w:rPr>
          <w:rtl/>
        </w:rPr>
        <w:t>)</w:t>
      </w:r>
      <w:r>
        <w:rPr>
          <w:rFonts w:hint="cs"/>
          <w:rtl/>
        </w:rPr>
        <w:t>,</w:t>
      </w:r>
      <w:r w:rsidRPr="00B114DA">
        <w:rPr>
          <w:rtl/>
        </w:rPr>
        <w:t xml:space="preserve"> ו</w:t>
      </w:r>
      <w:r>
        <w:rPr>
          <w:rFonts w:hint="cs"/>
          <w:rtl/>
        </w:rPr>
        <w:t xml:space="preserve">כן להקים </w:t>
      </w:r>
      <w:r w:rsidRPr="00B114DA">
        <w:rPr>
          <w:rtl/>
        </w:rPr>
        <w:t xml:space="preserve">בית דין </w:t>
      </w:r>
      <w:proofErr w:type="spellStart"/>
      <w:r w:rsidRPr="00B114DA">
        <w:rPr>
          <w:rtl/>
        </w:rPr>
        <w:t>מינהלי</w:t>
      </w:r>
      <w:proofErr w:type="spellEnd"/>
      <w:r w:rsidRPr="00B114DA">
        <w:rPr>
          <w:rtl/>
        </w:rPr>
        <w:t xml:space="preserve"> לתעבורה</w:t>
      </w:r>
      <w:r>
        <w:rPr>
          <w:rFonts w:hint="cs"/>
          <w:rtl/>
        </w:rPr>
        <w:t xml:space="preserve"> תחת משרד המשפטים,</w:t>
      </w:r>
      <w:r w:rsidRPr="00B114DA">
        <w:rPr>
          <w:rtl/>
        </w:rPr>
        <w:t xml:space="preserve"> שידון </w:t>
      </w:r>
      <w:proofErr w:type="spellStart"/>
      <w:r w:rsidRPr="00B114DA">
        <w:rPr>
          <w:rtl/>
        </w:rPr>
        <w:t>בעררים</w:t>
      </w:r>
      <w:proofErr w:type="spellEnd"/>
      <w:r w:rsidRPr="00B114DA">
        <w:rPr>
          <w:rtl/>
        </w:rPr>
        <w:t xml:space="preserve"> המוגשים על הליכים אלה</w:t>
      </w:r>
      <w:r>
        <w:rPr>
          <w:rFonts w:hint="cs"/>
          <w:rtl/>
        </w:rPr>
        <w:t xml:space="preserve"> (להלן: </w:t>
      </w:r>
      <w:r>
        <w:rPr>
          <w:rFonts w:hint="cs"/>
          <w:b/>
          <w:bCs/>
          <w:rtl/>
        </w:rPr>
        <w:t>"בית דין לתעבורה"</w:t>
      </w:r>
      <w:r>
        <w:rPr>
          <w:rFonts w:hint="cs"/>
          <w:rtl/>
        </w:rPr>
        <w:t>)</w:t>
      </w:r>
      <w:r w:rsidRPr="00B114DA">
        <w:rPr>
          <w:rtl/>
        </w:rPr>
        <w:t xml:space="preserve">. </w:t>
      </w:r>
      <w:r>
        <w:rPr>
          <w:rFonts w:eastAsia="Calibri" w:hint="cs"/>
          <w:rtl/>
        </w:rPr>
        <w:t>הוראות תזכיר החוק מבוססות על</w:t>
      </w:r>
      <w:r w:rsidRPr="00DD0F4F">
        <w:rPr>
          <w:rFonts w:eastAsia="Calibri" w:hint="cs"/>
          <w:rtl/>
        </w:rPr>
        <w:t xml:space="preserve"> המלצות הצוות </w:t>
      </w:r>
      <w:proofErr w:type="spellStart"/>
      <w:r w:rsidRPr="00DD0F4F">
        <w:rPr>
          <w:rFonts w:eastAsia="Calibri" w:hint="cs"/>
          <w:rtl/>
        </w:rPr>
        <w:t>הבי</w:t>
      </w:r>
      <w:r>
        <w:rPr>
          <w:rFonts w:eastAsia="Calibri" w:hint="cs"/>
          <w:rtl/>
        </w:rPr>
        <w:t>נ</w:t>
      </w:r>
      <w:r w:rsidRPr="00DD0F4F">
        <w:rPr>
          <w:rFonts w:eastAsia="Calibri" w:hint="cs"/>
          <w:rtl/>
        </w:rPr>
        <w:t>משרדי</w:t>
      </w:r>
      <w:proofErr w:type="spellEnd"/>
      <w:r w:rsidRPr="00DD0F4F">
        <w:rPr>
          <w:rFonts w:eastAsia="Calibri" w:hint="cs"/>
          <w:rtl/>
        </w:rPr>
        <w:t xml:space="preserve"> לבחינת </w:t>
      </w:r>
      <w:r>
        <w:rPr>
          <w:rFonts w:eastAsia="Calibri" w:hint="cs"/>
          <w:rtl/>
        </w:rPr>
        <w:t>סמכות הדיון בעבירות תעבורה מסוג "ברירת משפט",</w:t>
      </w:r>
      <w:r w:rsidRPr="00DD0F4F">
        <w:rPr>
          <w:rFonts w:eastAsia="Calibri" w:hint="cs"/>
          <w:rtl/>
        </w:rPr>
        <w:t xml:space="preserve"> </w:t>
      </w:r>
      <w:r>
        <w:rPr>
          <w:rtl/>
        </w:rPr>
        <w:t xml:space="preserve">בראשות </w:t>
      </w:r>
      <w:r>
        <w:rPr>
          <w:rFonts w:hint="cs"/>
          <w:rtl/>
        </w:rPr>
        <w:t xml:space="preserve">שני נשיאי בתי משפט השלום </w:t>
      </w:r>
      <w:r>
        <w:rPr>
          <w:rtl/>
        </w:rPr>
        <w:t xml:space="preserve">ובהשתתפות </w:t>
      </w:r>
      <w:r>
        <w:rPr>
          <w:rFonts w:hint="cs"/>
          <w:rtl/>
        </w:rPr>
        <w:t xml:space="preserve">נציגים ממשרד המשפטים, משרד התחבורה, משרד האוצר, המשרד לביטחון הפנים, משטרת ישראל והנהלת בתי המשפט </w:t>
      </w:r>
      <w:r w:rsidRPr="008D1EF4">
        <w:rPr>
          <w:rtl/>
        </w:rPr>
        <w:t xml:space="preserve">(להלן: </w:t>
      </w:r>
      <w:r>
        <w:rPr>
          <w:rFonts w:hint="cs"/>
          <w:rtl/>
        </w:rPr>
        <w:t>"</w:t>
      </w:r>
      <w:r w:rsidRPr="008D1EF4">
        <w:rPr>
          <w:b/>
          <w:bCs/>
          <w:rtl/>
        </w:rPr>
        <w:t xml:space="preserve">הצוות </w:t>
      </w:r>
      <w:proofErr w:type="spellStart"/>
      <w:r w:rsidRPr="008D1EF4">
        <w:rPr>
          <w:b/>
          <w:bCs/>
          <w:rtl/>
        </w:rPr>
        <w:t>הבינמשרדי</w:t>
      </w:r>
      <w:proofErr w:type="spellEnd"/>
      <w:r>
        <w:rPr>
          <w:rFonts w:hint="cs"/>
          <w:b/>
          <w:bCs/>
          <w:rtl/>
        </w:rPr>
        <w:t>"</w:t>
      </w:r>
      <w:r w:rsidRPr="008D1EF4">
        <w:rPr>
          <w:rtl/>
        </w:rPr>
        <w:t xml:space="preserve">, או </w:t>
      </w:r>
      <w:r>
        <w:rPr>
          <w:rFonts w:hint="cs"/>
          <w:b/>
          <w:bCs/>
          <w:rtl/>
        </w:rPr>
        <w:t>"</w:t>
      </w:r>
      <w:r w:rsidRPr="008D1EF4">
        <w:rPr>
          <w:b/>
          <w:bCs/>
          <w:rtl/>
        </w:rPr>
        <w:t>הצוות</w:t>
      </w:r>
      <w:r>
        <w:rPr>
          <w:rFonts w:hint="cs"/>
          <w:b/>
          <w:bCs/>
          <w:rtl/>
        </w:rPr>
        <w:t>"</w:t>
      </w:r>
      <w:r>
        <w:rPr>
          <w:rtl/>
        </w:rPr>
        <w:t xml:space="preserve">). </w:t>
      </w:r>
      <w:r>
        <w:rPr>
          <w:rFonts w:hint="cs"/>
          <w:rtl/>
        </w:rPr>
        <w:t xml:space="preserve">הצוות </w:t>
      </w:r>
      <w:r w:rsidRPr="008D1EF4">
        <w:rPr>
          <w:rtl/>
        </w:rPr>
        <w:t xml:space="preserve">הוקם מכוח החלטת ממשלה 3437 </w:t>
      </w:r>
      <w:r>
        <w:rPr>
          <w:rFonts w:hint="cs"/>
          <w:rtl/>
        </w:rPr>
        <w:t>מיום</w:t>
      </w:r>
      <w:r w:rsidRPr="008D1EF4">
        <w:rPr>
          <w:rtl/>
        </w:rPr>
        <w:t xml:space="preserve"> 11.1.2018</w:t>
      </w:r>
      <w:r>
        <w:rPr>
          <w:rFonts w:hint="cs"/>
          <w:rtl/>
        </w:rPr>
        <w:t xml:space="preserve"> במטרה</w:t>
      </w:r>
      <w:r w:rsidRPr="008D1EF4">
        <w:rPr>
          <w:rtl/>
        </w:rPr>
        <w:t xml:space="preserve"> לבחון את האפשרות להעביר חלק מעבירות התעבורה, המסווגות כעבירות "ברירת </w:t>
      </w:r>
      <w:r>
        <w:rPr>
          <w:rtl/>
        </w:rPr>
        <w:t>משפט"</w:t>
      </w:r>
      <w:r>
        <w:rPr>
          <w:rFonts w:hint="cs"/>
          <w:rtl/>
        </w:rPr>
        <w:t xml:space="preserve"> ("עבירות קנס"),</w:t>
      </w:r>
      <w:r w:rsidRPr="008D1EF4">
        <w:rPr>
          <w:rtl/>
        </w:rPr>
        <w:t xml:space="preserve"> </w:t>
      </w:r>
      <w:r>
        <w:rPr>
          <w:rFonts w:hint="cs"/>
          <w:rtl/>
        </w:rPr>
        <w:t xml:space="preserve">מהמסלול הפלילי </w:t>
      </w:r>
      <w:r w:rsidRPr="008D1EF4">
        <w:rPr>
          <w:rtl/>
        </w:rPr>
        <w:t xml:space="preserve">למסלול </w:t>
      </w:r>
      <w:proofErr w:type="spellStart"/>
      <w:r>
        <w:rPr>
          <w:rFonts w:hint="cs"/>
          <w:rtl/>
        </w:rPr>
        <w:t>ה</w:t>
      </w:r>
      <w:r w:rsidRPr="008D1EF4">
        <w:rPr>
          <w:rtl/>
        </w:rPr>
        <w:t>מינהלי</w:t>
      </w:r>
      <w:proofErr w:type="spellEnd"/>
      <w:r w:rsidRPr="008D1EF4">
        <w:rPr>
          <w:rtl/>
        </w:rPr>
        <w:t xml:space="preserve">. </w:t>
      </w:r>
      <w:r>
        <w:rPr>
          <w:rFonts w:hint="cs"/>
          <w:rtl/>
        </w:rPr>
        <w:t xml:space="preserve">המלצותיו של הצוות עוגנו במסגרת דו"ח שפורסם ביום 6.7.2020 (להלן: </w:t>
      </w:r>
      <w:r>
        <w:rPr>
          <w:rFonts w:hint="cs"/>
          <w:b/>
          <w:bCs/>
          <w:rtl/>
        </w:rPr>
        <w:t>"הדו"ח"</w:t>
      </w:r>
      <w:r>
        <w:rPr>
          <w:rFonts w:hint="cs"/>
          <w:rtl/>
        </w:rPr>
        <w:t>)</w:t>
      </w:r>
      <w:r w:rsidRPr="008D1EF4">
        <w:rPr>
          <w:rtl/>
        </w:rPr>
        <w:t>.</w:t>
      </w:r>
      <w:r>
        <w:rPr>
          <w:rStyle w:val="a9"/>
          <w:rtl/>
        </w:rPr>
        <w:footnoteReference w:id="1"/>
      </w:r>
    </w:p>
    <w:p w:rsidR="00347EE8" w:rsidRDefault="00347EE8" w:rsidP="00347EE8">
      <w:pPr>
        <w:ind w:firstLine="380"/>
        <w:rPr>
          <w:rtl/>
        </w:rPr>
      </w:pPr>
      <w:r>
        <w:rPr>
          <w:rFonts w:hint="cs"/>
          <w:rtl/>
        </w:rPr>
        <w:t>נקודת המוצא של תזכיר החוק נשענת על שני אדנים מרכזיים, עליהם עמד הדו"ח:</w:t>
      </w:r>
    </w:p>
    <w:p w:rsidR="00347EE8" w:rsidRPr="00D21B07" w:rsidRDefault="00347EE8" w:rsidP="00C8372E">
      <w:pPr>
        <w:ind w:firstLine="380"/>
        <w:rPr>
          <w:rFonts w:asciiTheme="minorHAnsi" w:hAnsiTheme="minorHAnsi"/>
          <w:b/>
          <w:bCs/>
        </w:rPr>
      </w:pPr>
      <w:r>
        <w:rPr>
          <w:rFonts w:hint="cs"/>
          <w:b/>
          <w:bCs/>
          <w:rtl/>
        </w:rPr>
        <w:t>ראשית</w:t>
      </w:r>
      <w:r>
        <w:rPr>
          <w:rFonts w:hint="cs"/>
          <w:rtl/>
        </w:rPr>
        <w:t xml:space="preserve">, </w:t>
      </w:r>
      <w:r w:rsidRPr="004F7D51">
        <w:rPr>
          <w:rtl/>
        </w:rPr>
        <w:t>עבירות "ברירת מ</w:t>
      </w:r>
      <w:r>
        <w:rPr>
          <w:rtl/>
        </w:rPr>
        <w:t>שפט" מנויות</w:t>
      </w:r>
      <w:r>
        <w:rPr>
          <w:rFonts w:hint="cs"/>
          <w:rtl/>
        </w:rPr>
        <w:t xml:space="preserve"> כיום</w:t>
      </w:r>
      <w:r>
        <w:rPr>
          <w:rtl/>
        </w:rPr>
        <w:t xml:space="preserve"> בתוספת </w:t>
      </w:r>
      <w:r>
        <w:rPr>
          <w:rFonts w:hint="cs"/>
          <w:rtl/>
        </w:rPr>
        <w:t>לצו התעבורה (עבירות קנס), התשס"ב-2002</w:t>
      </w:r>
      <w:r>
        <w:rPr>
          <w:rStyle w:val="a9"/>
          <w:rtl/>
        </w:rPr>
        <w:footnoteReference w:id="2"/>
      </w:r>
      <w:r>
        <w:rPr>
          <w:rFonts w:hint="cs"/>
          <w:rtl/>
        </w:rPr>
        <w:t xml:space="preserve"> </w:t>
      </w:r>
      <w:r>
        <w:rPr>
          <w:rtl/>
        </w:rPr>
        <w:t>ובו נקבע גם גובה הקנס החל עליהן</w:t>
      </w:r>
      <w:r>
        <w:rPr>
          <w:rFonts w:hint="cs"/>
          <w:rtl/>
        </w:rPr>
        <w:t>.</w:t>
      </w:r>
      <w:r w:rsidRPr="004F7D51">
        <w:rPr>
          <w:rtl/>
        </w:rPr>
        <w:t xml:space="preserve"> הן מתאפיינות בכך שמקבל הדו</w:t>
      </w:r>
      <w:r>
        <w:rPr>
          <w:rFonts w:hint="cs"/>
          <w:rtl/>
        </w:rPr>
        <w:t>"</w:t>
      </w:r>
      <w:r w:rsidRPr="004F7D51">
        <w:rPr>
          <w:rtl/>
        </w:rPr>
        <w:t xml:space="preserve">ח שמואשם בעבירה כזו יכול לבחור אם לשלם את הקנס הקבוע בו, או לבקש להישפט בפני בית המשפט לתעבורה בהליך פלילי. דוגמאות לעבירות כאלה הן נסיעה במהירות גבוהה מהמותר בנסיבות מסוימות, שימוש במכשיר סלולרי בזמן נהיגה, אי-חגירת חגורת בטיחות ונסיעה בנתיב תחבורה ציבורית. עבירות מסוג "ברירת משפט" נחשבות </w:t>
      </w:r>
      <w:r>
        <w:rPr>
          <w:rFonts w:hint="cs"/>
          <w:rtl/>
        </w:rPr>
        <w:t xml:space="preserve">גם כיום </w:t>
      </w:r>
      <w:r w:rsidRPr="004F7D51">
        <w:rPr>
          <w:rtl/>
        </w:rPr>
        <w:t xml:space="preserve">לעבירות שניתן להסתפק </w:t>
      </w:r>
      <w:r w:rsidR="00C8372E" w:rsidRPr="004F7D51">
        <w:rPr>
          <w:rtl/>
        </w:rPr>
        <w:t xml:space="preserve">בגינן </w:t>
      </w:r>
      <w:r w:rsidRPr="004F7D51">
        <w:rPr>
          <w:rtl/>
        </w:rPr>
        <w:t>בקנס, והן אינן מחייבות התייצבות בפני שופט וקיום הליך פלילי מלא בבית משפט על כל הכרוך בכך. זאת, בהתחשב בשיקולי עומס במערכת המשפט</w:t>
      </w:r>
      <w:r>
        <w:rPr>
          <w:rFonts w:hint="cs"/>
          <w:rtl/>
        </w:rPr>
        <w:t>,</w:t>
      </w:r>
      <w:r w:rsidRPr="004F7D51">
        <w:rPr>
          <w:rtl/>
        </w:rPr>
        <w:t xml:space="preserve"> אשר משליכים על יכולתה לתפקד באופן תקין</w:t>
      </w:r>
      <w:r>
        <w:rPr>
          <w:rFonts w:hint="cs"/>
          <w:rtl/>
        </w:rPr>
        <w:t>;</w:t>
      </w:r>
      <w:r w:rsidRPr="004F7D51">
        <w:rPr>
          <w:rtl/>
        </w:rPr>
        <w:t xml:space="preserve"> </w:t>
      </w:r>
      <w:r>
        <w:rPr>
          <w:rtl/>
        </w:rPr>
        <w:t>מידת ההרתעה של מערכת האכיפה</w:t>
      </w:r>
      <w:r>
        <w:rPr>
          <w:rFonts w:hint="cs"/>
          <w:rtl/>
        </w:rPr>
        <w:t>;</w:t>
      </w:r>
      <w:r w:rsidRPr="004F7D51">
        <w:rPr>
          <w:rtl/>
        </w:rPr>
        <w:t xml:space="preserve"> </w:t>
      </w:r>
      <w:r>
        <w:rPr>
          <w:rFonts w:hint="cs"/>
          <w:rtl/>
        </w:rPr>
        <w:t>לצד</w:t>
      </w:r>
      <w:r w:rsidRPr="004F7D51">
        <w:rPr>
          <w:rtl/>
        </w:rPr>
        <w:t xml:space="preserve"> היותן עבירות רגולטוריות גרידא כגון אי</w:t>
      </w:r>
      <w:r>
        <w:rPr>
          <w:rFonts w:hint="cs"/>
          <w:rtl/>
        </w:rPr>
        <w:t>-</w:t>
      </w:r>
      <w:r w:rsidRPr="004F7D51">
        <w:rPr>
          <w:rtl/>
        </w:rPr>
        <w:t xml:space="preserve">החזקת מסמכים או איחור בחידוש רישיונות, שאינן מגלמות בהכרח סכנה ישירה מאופן נהיגתו של בעל הרכב. </w:t>
      </w:r>
      <w:r>
        <w:rPr>
          <w:rtl/>
        </w:rPr>
        <w:t xml:space="preserve">הגדרת עבירות אלה כ"הפרות תעבורה", שיטופלו במישור </w:t>
      </w:r>
      <w:proofErr w:type="spellStart"/>
      <w:r>
        <w:rPr>
          <w:rtl/>
        </w:rPr>
        <w:t>המינהלי</w:t>
      </w:r>
      <w:proofErr w:type="spellEnd"/>
      <w:r>
        <w:rPr>
          <w:rtl/>
        </w:rPr>
        <w:t xml:space="preserve">, תהלום את מידת חומרתן, ולא תסטה מהעיקרון שלפיו התנהגויות חמורות ראוי שייאסרו בעבירה פלילית. </w:t>
      </w:r>
      <w:r>
        <w:rPr>
          <w:rFonts w:hint="cs"/>
          <w:rtl/>
        </w:rPr>
        <w:t>יצוין, כי אכן</w:t>
      </w:r>
      <w:r w:rsidRPr="00D21B07">
        <w:rPr>
          <w:rtl/>
        </w:rPr>
        <w:t xml:space="preserve"> </w:t>
      </w:r>
      <w:r>
        <w:rPr>
          <w:rFonts w:hint="cs"/>
          <w:rtl/>
        </w:rPr>
        <w:t xml:space="preserve">גם </w:t>
      </w:r>
      <w:r w:rsidRPr="00D21B07">
        <w:rPr>
          <w:rtl/>
        </w:rPr>
        <w:t xml:space="preserve">במדינות מערביות </w:t>
      </w:r>
      <w:r>
        <w:rPr>
          <w:rFonts w:hint="cs"/>
          <w:rtl/>
        </w:rPr>
        <w:t>נוספות</w:t>
      </w:r>
      <w:r w:rsidRPr="00D21B07">
        <w:rPr>
          <w:rtl/>
        </w:rPr>
        <w:t xml:space="preserve"> התקבלה הכרעה עקרונית שלפיה, בשל אופיין, עבירות תעבורה מסוימות ראוי שיטופלו במישור </w:t>
      </w:r>
      <w:proofErr w:type="spellStart"/>
      <w:r w:rsidRPr="00D21B07">
        <w:rPr>
          <w:rtl/>
        </w:rPr>
        <w:t>המינהלי</w:t>
      </w:r>
      <w:proofErr w:type="spellEnd"/>
      <w:r w:rsidRPr="00D21B07">
        <w:rPr>
          <w:rtl/>
        </w:rPr>
        <w:t xml:space="preserve"> ולא במישור הפלילי. </w:t>
      </w:r>
    </w:p>
    <w:p w:rsidR="00347EE8" w:rsidRDefault="00347EE8" w:rsidP="00347EE8">
      <w:pPr>
        <w:ind w:firstLine="380"/>
        <w:rPr>
          <w:rFonts w:asciiTheme="minorHAnsi" w:hAnsiTheme="minorHAnsi"/>
          <w:rtl/>
        </w:rPr>
      </w:pPr>
      <w:r>
        <w:rPr>
          <w:rFonts w:hint="cs"/>
          <w:b/>
          <w:bCs/>
          <w:rtl/>
        </w:rPr>
        <w:t>שנית</w:t>
      </w:r>
      <w:r>
        <w:rPr>
          <w:rFonts w:hint="cs"/>
          <w:rtl/>
        </w:rPr>
        <w:t xml:space="preserve">, </w:t>
      </w:r>
      <w:r>
        <w:rPr>
          <w:rtl/>
        </w:rPr>
        <w:t xml:space="preserve">רכיב חשוב במניעת תאונות דרכים הוא אכיפה </w:t>
      </w:r>
      <w:r>
        <w:rPr>
          <w:rFonts w:hint="cs"/>
          <w:rtl/>
        </w:rPr>
        <w:t>של</w:t>
      </w:r>
      <w:r>
        <w:rPr>
          <w:rtl/>
        </w:rPr>
        <w:t xml:space="preserve"> עבירות תעבורה</w:t>
      </w:r>
      <w:r>
        <w:rPr>
          <w:rFonts w:hint="cs"/>
          <w:rtl/>
        </w:rPr>
        <w:t>,</w:t>
      </w:r>
      <w:r>
        <w:rPr>
          <w:rtl/>
        </w:rPr>
        <w:t xml:space="preserve"> המתבצעת בעיקר על</w:t>
      </w:r>
      <w:r>
        <w:rPr>
          <w:rFonts w:hint="cs"/>
          <w:rtl/>
        </w:rPr>
        <w:t>-</w:t>
      </w:r>
      <w:r>
        <w:rPr>
          <w:rtl/>
        </w:rPr>
        <w:t>ידי משטרת ישראל, וכפועל יוצא מכך, גם העמדה לדין של אלו המפרים את דיני התעבורה. עבירות תעבורה מוגדרות היום בישראל כעבירות פליליות, והן נידונות בבתי המשפט לתעבורה, שהם חלק מבתי משפט השלום. בשנת 2018, ניתנו בישראל כ-1.2 מיליון דוחות תעבורה</w:t>
      </w:r>
      <w:r>
        <w:rPr>
          <w:rFonts w:hint="cs"/>
          <w:rtl/>
        </w:rPr>
        <w:t xml:space="preserve"> (מתוכם למעלה ממיליון דוחות ברירת משפט)</w:t>
      </w:r>
      <w:r>
        <w:rPr>
          <w:rtl/>
        </w:rPr>
        <w:t xml:space="preserve"> ונפתחו כ-140,000 הליכים פליליים בבתי המשפט לתעבורה.</w:t>
      </w:r>
      <w:r>
        <w:rPr>
          <w:rStyle w:val="a9"/>
          <w:rtl/>
        </w:rPr>
        <w:footnoteReference w:id="3"/>
      </w:r>
      <w:r>
        <w:rPr>
          <w:rtl/>
        </w:rPr>
        <w:t xml:space="preserve"> </w:t>
      </w:r>
      <w:r>
        <w:rPr>
          <w:rFonts w:hint="cs"/>
          <w:rtl/>
        </w:rPr>
        <w:t xml:space="preserve">הקמת בית דין לתעבורה והעברת הטיפול בעבירות תעבורה מסוג "ברירת משפט" למישור </w:t>
      </w:r>
      <w:proofErr w:type="spellStart"/>
      <w:r>
        <w:rPr>
          <w:rFonts w:hint="cs"/>
          <w:rtl/>
        </w:rPr>
        <w:t>המינהלי</w:t>
      </w:r>
      <w:proofErr w:type="spellEnd"/>
      <w:r>
        <w:rPr>
          <w:rFonts w:hint="cs"/>
          <w:rtl/>
        </w:rPr>
        <w:t xml:space="preserve"> נועדה להתמודד עם </w:t>
      </w:r>
      <w:r>
        <w:rPr>
          <w:rtl/>
        </w:rPr>
        <w:t>העומס הגדול שקיים כיום במערכת אכיפת דיני התעבורה בכללותה, ובאופן ספציפי בבתי המשפט לתעבורה, שהם בתי משפט פליליים. עומס זה צפוי להתגבר בעתיד, עם ההתפתחויות הטכנולוגיות והרחבת השימוש באמצעי אכיפה אוטומטיים</w:t>
      </w:r>
      <w:r>
        <w:rPr>
          <w:rFonts w:hint="cs"/>
          <w:rtl/>
        </w:rPr>
        <w:t xml:space="preserve">, שנועדו להגדיל את הסיכוי להיתפס ובכך להכווין את התנהגותם של משתמשי הדרך. </w:t>
      </w:r>
      <w:r>
        <w:rPr>
          <w:rtl/>
        </w:rPr>
        <w:t>לפיכך</w:t>
      </w:r>
      <w:r>
        <w:rPr>
          <w:rFonts w:hint="cs"/>
          <w:rtl/>
        </w:rPr>
        <w:t>, הקמת בית דין</w:t>
      </w:r>
      <w:r w:rsidRPr="00581237">
        <w:rPr>
          <w:rFonts w:hint="cs"/>
          <w:rtl/>
        </w:rPr>
        <w:t xml:space="preserve"> </w:t>
      </w:r>
      <w:r>
        <w:rPr>
          <w:rFonts w:hint="cs"/>
          <w:rtl/>
        </w:rPr>
        <w:t xml:space="preserve">לתעבורה נועדה </w:t>
      </w:r>
      <w:r>
        <w:rPr>
          <w:rtl/>
        </w:rPr>
        <w:t>להקל על העומס על</w:t>
      </w:r>
      <w:r>
        <w:rPr>
          <w:rFonts w:hint="cs"/>
          <w:rtl/>
        </w:rPr>
        <w:t>-</w:t>
      </w:r>
      <w:r>
        <w:rPr>
          <w:rtl/>
        </w:rPr>
        <w:t>ידי הסטת חלק מן התיקים לבירור במסלול יעיל ואפקטיבי יותר</w:t>
      </w:r>
      <w:r>
        <w:rPr>
          <w:rFonts w:hint="cs"/>
          <w:rtl/>
        </w:rPr>
        <w:t xml:space="preserve"> במסלול </w:t>
      </w:r>
      <w:proofErr w:type="spellStart"/>
      <w:r>
        <w:rPr>
          <w:rFonts w:hint="cs"/>
          <w:rtl/>
        </w:rPr>
        <w:t>המינהלי</w:t>
      </w:r>
      <w:proofErr w:type="spellEnd"/>
      <w:r>
        <w:rPr>
          <w:rtl/>
        </w:rPr>
        <w:t>.</w:t>
      </w:r>
    </w:p>
    <w:p w:rsidR="00347EE8" w:rsidRDefault="00347EE8" w:rsidP="00347EE8">
      <w:pPr>
        <w:ind w:firstLine="380"/>
        <w:rPr>
          <w:rFonts w:asciiTheme="minorHAnsi" w:hAnsiTheme="minorHAnsi"/>
          <w:rtl/>
        </w:rPr>
      </w:pPr>
      <w:r>
        <w:rPr>
          <w:rFonts w:hint="cs"/>
          <w:rtl/>
        </w:rPr>
        <w:t xml:space="preserve">בהתאם ונוכח האמור לעיל, הצוות </w:t>
      </w:r>
      <w:proofErr w:type="spellStart"/>
      <w:r>
        <w:rPr>
          <w:rFonts w:hint="cs"/>
          <w:rtl/>
        </w:rPr>
        <w:t>הבינמשרדי</w:t>
      </w:r>
      <w:proofErr w:type="spellEnd"/>
      <w:r>
        <w:rPr>
          <w:rFonts w:hint="cs"/>
          <w:rtl/>
        </w:rPr>
        <w:t xml:space="preserve"> הגיע לכלל מסקנה, כי </w:t>
      </w:r>
      <w:r>
        <w:rPr>
          <w:rtl/>
        </w:rPr>
        <w:t xml:space="preserve">המשפט הפלילי אינו נותן מענה הולם לאכיפת עבירות מסוג "ברירת משפט", שלא מחייבות ממילא התייצבות בפני שופט וקיום הליך פלילי, וכי אכיפה </w:t>
      </w:r>
      <w:proofErr w:type="spellStart"/>
      <w:r>
        <w:rPr>
          <w:rtl/>
        </w:rPr>
        <w:t>מינהלית</w:t>
      </w:r>
      <w:proofErr w:type="spellEnd"/>
      <w:r>
        <w:rPr>
          <w:rtl/>
        </w:rPr>
        <w:t xml:space="preserve"> עשויה </w:t>
      </w:r>
      <w:proofErr w:type="spellStart"/>
      <w:r>
        <w:rPr>
          <w:rtl/>
        </w:rPr>
        <w:t>ליתן</w:t>
      </w:r>
      <w:proofErr w:type="spellEnd"/>
      <w:r>
        <w:rPr>
          <w:rtl/>
        </w:rPr>
        <w:t xml:space="preserve"> מענה טוב יותר שיאפשר הן הגברה של אכיפת דיני התעבורה והן מתן שירות טוב יותר לציבור</w:t>
      </w:r>
      <w:r>
        <w:rPr>
          <w:i/>
          <w:iCs/>
          <w:rtl/>
        </w:rPr>
        <w:t>.</w:t>
      </w:r>
    </w:p>
    <w:p w:rsidR="00347EE8" w:rsidRDefault="00347EE8" w:rsidP="00347EE8">
      <w:pPr>
        <w:ind w:firstLine="380"/>
        <w:rPr>
          <w:rFonts w:asciiTheme="minorHAnsi" w:hAnsiTheme="minorHAnsi"/>
        </w:rPr>
      </w:pPr>
    </w:p>
    <w:p w:rsidR="00347EE8" w:rsidRDefault="00347EE8" w:rsidP="00347EE8">
      <w:pPr>
        <w:ind w:firstLine="380"/>
        <w:rPr>
          <w:rtl/>
        </w:rPr>
      </w:pPr>
      <w:r>
        <w:rPr>
          <w:rFonts w:hint="cs"/>
          <w:rtl/>
        </w:rPr>
        <w:t>עיקריה של הצעת החוק הינם:</w:t>
      </w:r>
    </w:p>
    <w:p w:rsidR="00347EE8" w:rsidRPr="000C4624" w:rsidRDefault="00347EE8" w:rsidP="00081A80">
      <w:pPr>
        <w:pStyle w:val="a3"/>
        <w:numPr>
          <w:ilvl w:val="0"/>
          <w:numId w:val="5"/>
        </w:numPr>
        <w:spacing w:line="360" w:lineRule="auto"/>
        <w:ind w:left="282" w:firstLine="567"/>
        <w:rPr>
          <w:sz w:val="24"/>
          <w:rtl/>
        </w:rPr>
      </w:pPr>
      <w:r>
        <w:rPr>
          <w:rFonts w:hint="cs"/>
          <w:rtl/>
        </w:rPr>
        <w:t xml:space="preserve">במסגרת חוק זה מוצע להפוך חלק מעבירות התעבורה מסוג "ברירת משפט" להפרות תעבורה שיטופלו במישור </w:t>
      </w:r>
      <w:proofErr w:type="spellStart"/>
      <w:r w:rsidRPr="000C4624">
        <w:rPr>
          <w:rFonts w:hint="cs"/>
          <w:rtl/>
        </w:rPr>
        <w:t>המינהלי</w:t>
      </w:r>
      <w:proofErr w:type="spellEnd"/>
      <w:r w:rsidRPr="000C4624">
        <w:rPr>
          <w:rFonts w:hint="cs"/>
          <w:rtl/>
        </w:rPr>
        <w:t>, חלף המישור הפלילי.</w:t>
      </w:r>
      <w:r w:rsidRPr="000C4624">
        <w:rPr>
          <w:sz w:val="24"/>
          <w:rtl/>
        </w:rPr>
        <w:t xml:space="preserve"> </w:t>
      </w:r>
      <w:r w:rsidRPr="000C4624">
        <w:rPr>
          <w:rFonts w:hint="cs"/>
          <w:sz w:val="24"/>
          <w:rtl/>
        </w:rPr>
        <w:t xml:space="preserve">בהתאם, </w:t>
      </w:r>
      <w:r w:rsidRPr="000C4624">
        <w:rPr>
          <w:sz w:val="24"/>
          <w:rtl/>
        </w:rPr>
        <w:t>דו</w:t>
      </w:r>
      <w:r>
        <w:rPr>
          <w:rFonts w:hint="cs"/>
          <w:sz w:val="24"/>
          <w:rtl/>
        </w:rPr>
        <w:t>"</w:t>
      </w:r>
      <w:r w:rsidRPr="000C4624">
        <w:rPr>
          <w:sz w:val="24"/>
          <w:rtl/>
        </w:rPr>
        <w:t>ח תנועה בהפר</w:t>
      </w:r>
      <w:r w:rsidRPr="000C4624">
        <w:rPr>
          <w:rFonts w:hint="cs"/>
          <w:sz w:val="24"/>
          <w:rtl/>
        </w:rPr>
        <w:t xml:space="preserve">ת תעבורה </w:t>
      </w:r>
      <w:r w:rsidRPr="000C4624">
        <w:rPr>
          <w:sz w:val="24"/>
          <w:rtl/>
        </w:rPr>
        <w:t xml:space="preserve">לא יהווה התחלה של הליך פלילי פוטנציאלי, אלא ישקף החלטה </w:t>
      </w:r>
      <w:proofErr w:type="spellStart"/>
      <w:r w:rsidRPr="000C4624">
        <w:rPr>
          <w:sz w:val="24"/>
          <w:rtl/>
        </w:rPr>
        <w:t>מינהלית</w:t>
      </w:r>
      <w:proofErr w:type="spellEnd"/>
      <w:r w:rsidRPr="000C4624">
        <w:rPr>
          <w:sz w:val="24"/>
          <w:rtl/>
        </w:rPr>
        <w:t xml:space="preserve"> לקנוס את הפרט בסכום כסף מסוים, וזאת בשל קיום ראיות </w:t>
      </w:r>
      <w:proofErr w:type="spellStart"/>
      <w:r w:rsidRPr="000C4624">
        <w:rPr>
          <w:sz w:val="24"/>
          <w:rtl/>
        </w:rPr>
        <w:t>מינהליות</w:t>
      </w:r>
      <w:proofErr w:type="spellEnd"/>
      <w:r w:rsidRPr="000C4624">
        <w:rPr>
          <w:sz w:val="24"/>
          <w:rtl/>
        </w:rPr>
        <w:t xml:space="preserve"> לכך שאותו </w:t>
      </w:r>
      <w:r>
        <w:rPr>
          <w:rFonts w:hint="cs"/>
          <w:sz w:val="24"/>
          <w:rtl/>
        </w:rPr>
        <w:t>אדם</w:t>
      </w:r>
      <w:r w:rsidRPr="000C4624">
        <w:rPr>
          <w:sz w:val="24"/>
          <w:rtl/>
        </w:rPr>
        <w:t xml:space="preserve"> הפר את נורמות התעבורה שייקבעו </w:t>
      </w:r>
      <w:r w:rsidRPr="000C4624">
        <w:rPr>
          <w:rFonts w:hint="cs"/>
          <w:sz w:val="24"/>
          <w:rtl/>
        </w:rPr>
        <w:t xml:space="preserve">בתוספת </w:t>
      </w:r>
      <w:r w:rsidRPr="000C4624">
        <w:rPr>
          <w:sz w:val="24"/>
          <w:rtl/>
        </w:rPr>
        <w:t xml:space="preserve">כנורמות </w:t>
      </w:r>
      <w:proofErr w:type="spellStart"/>
      <w:r w:rsidRPr="000C4624">
        <w:rPr>
          <w:sz w:val="24"/>
          <w:rtl/>
        </w:rPr>
        <w:t>מינהליות</w:t>
      </w:r>
      <w:proofErr w:type="spellEnd"/>
      <w:r w:rsidRPr="000C4624">
        <w:rPr>
          <w:sz w:val="24"/>
          <w:rtl/>
        </w:rPr>
        <w:t>. לא יחול שינוי במנגנון רישום הנקודות כפועל יוצא של הקביעה שבוצעה הפרה</w:t>
      </w:r>
      <w:r>
        <w:rPr>
          <w:rFonts w:hint="cs"/>
          <w:rtl/>
        </w:rPr>
        <w:t>.</w:t>
      </w:r>
    </w:p>
    <w:p w:rsidR="00347EE8" w:rsidRDefault="00347EE8" w:rsidP="00AB3999">
      <w:pPr>
        <w:pStyle w:val="a3"/>
        <w:numPr>
          <w:ilvl w:val="0"/>
          <w:numId w:val="5"/>
        </w:numPr>
        <w:spacing w:line="360" w:lineRule="auto"/>
        <w:ind w:left="282" w:firstLine="567"/>
        <w:rPr>
          <w:sz w:val="24"/>
        </w:rPr>
      </w:pPr>
      <w:r w:rsidRPr="00783C1D">
        <w:rPr>
          <w:rFonts w:hint="cs"/>
          <w:rtl/>
        </w:rPr>
        <w:t xml:space="preserve">הקמת בית דין </w:t>
      </w:r>
      <w:proofErr w:type="spellStart"/>
      <w:r w:rsidRPr="00783C1D">
        <w:rPr>
          <w:rFonts w:hint="cs"/>
          <w:rtl/>
        </w:rPr>
        <w:t>מינהלי</w:t>
      </w:r>
      <w:proofErr w:type="spellEnd"/>
      <w:r>
        <w:rPr>
          <w:rFonts w:hint="cs"/>
          <w:rtl/>
        </w:rPr>
        <w:t xml:space="preserve"> לתעבורה</w:t>
      </w:r>
      <w:r w:rsidRPr="00783C1D">
        <w:rPr>
          <w:rFonts w:hint="cs"/>
          <w:rtl/>
        </w:rPr>
        <w:t xml:space="preserve"> תחת משרד המשפטים, </w:t>
      </w:r>
      <w:r w:rsidRPr="00783C1D">
        <w:rPr>
          <w:sz w:val="24"/>
          <w:rtl/>
        </w:rPr>
        <w:t>שיפעל כערכאה ראשונה לטיפול בהפרות</w:t>
      </w:r>
      <w:r w:rsidRPr="00783C1D">
        <w:rPr>
          <w:rFonts w:hint="cs"/>
          <w:sz w:val="24"/>
          <w:rtl/>
        </w:rPr>
        <w:t xml:space="preserve"> תעבורה</w:t>
      </w:r>
      <w:r>
        <w:rPr>
          <w:sz w:val="24"/>
          <w:rtl/>
        </w:rPr>
        <w:t xml:space="preserve">. בית </w:t>
      </w:r>
      <w:r w:rsidRPr="00783C1D">
        <w:rPr>
          <w:sz w:val="24"/>
          <w:rtl/>
        </w:rPr>
        <w:t xml:space="preserve">דין </w:t>
      </w:r>
      <w:r>
        <w:rPr>
          <w:rFonts w:hint="cs"/>
          <w:rtl/>
        </w:rPr>
        <w:t xml:space="preserve">לתעבורה </w:t>
      </w:r>
      <w:r w:rsidRPr="00783C1D">
        <w:rPr>
          <w:rFonts w:hint="cs"/>
          <w:sz w:val="24"/>
          <w:rtl/>
        </w:rPr>
        <w:t>יקיים</w:t>
      </w:r>
      <w:r w:rsidRPr="00783C1D">
        <w:rPr>
          <w:sz w:val="24"/>
          <w:rtl/>
        </w:rPr>
        <w:t xml:space="preserve"> ביקורת שיפוטית </w:t>
      </w:r>
      <w:proofErr w:type="spellStart"/>
      <w:r w:rsidRPr="00783C1D">
        <w:rPr>
          <w:sz w:val="24"/>
          <w:rtl/>
        </w:rPr>
        <w:t>מינהלית</w:t>
      </w:r>
      <w:proofErr w:type="spellEnd"/>
      <w:r w:rsidRPr="00783C1D">
        <w:rPr>
          <w:rFonts w:hint="cs"/>
          <w:sz w:val="24"/>
          <w:rtl/>
        </w:rPr>
        <w:t xml:space="preserve">, וזאת בשים לב למעבר מהמישור הפלילי למישור </w:t>
      </w:r>
      <w:proofErr w:type="spellStart"/>
      <w:r w:rsidRPr="00783C1D">
        <w:rPr>
          <w:rFonts w:hint="cs"/>
          <w:sz w:val="24"/>
          <w:rtl/>
        </w:rPr>
        <w:t>המינהלי</w:t>
      </w:r>
      <w:proofErr w:type="spellEnd"/>
      <w:r w:rsidRPr="00783C1D">
        <w:rPr>
          <w:rFonts w:hint="cs"/>
          <w:sz w:val="24"/>
          <w:rtl/>
        </w:rPr>
        <w:t>.</w:t>
      </w:r>
      <w:r>
        <w:rPr>
          <w:rFonts w:hint="cs"/>
          <w:rtl/>
        </w:rPr>
        <w:t xml:space="preserve"> </w:t>
      </w:r>
      <w:r>
        <w:rPr>
          <w:rFonts w:ascii="David" w:hAnsi="David"/>
          <w:sz w:val="24"/>
          <w:rtl/>
        </w:rPr>
        <w:t xml:space="preserve">בית </w:t>
      </w:r>
      <w:r w:rsidRPr="00783C1D">
        <w:rPr>
          <w:rFonts w:ascii="David" w:hAnsi="David"/>
          <w:sz w:val="24"/>
          <w:rtl/>
        </w:rPr>
        <w:t>דין</w:t>
      </w:r>
      <w:r w:rsidRPr="00581237">
        <w:rPr>
          <w:rFonts w:hint="cs"/>
          <w:rtl/>
        </w:rPr>
        <w:t xml:space="preserve"> </w:t>
      </w:r>
      <w:r>
        <w:rPr>
          <w:rFonts w:hint="cs"/>
          <w:rtl/>
        </w:rPr>
        <w:t>לתעבורה</w:t>
      </w:r>
      <w:r w:rsidRPr="00783C1D">
        <w:rPr>
          <w:rFonts w:ascii="David" w:hAnsi="David"/>
          <w:sz w:val="24"/>
          <w:rtl/>
        </w:rPr>
        <w:t xml:space="preserve"> </w:t>
      </w:r>
      <w:r>
        <w:rPr>
          <w:rFonts w:ascii="David" w:hAnsi="David" w:hint="cs"/>
          <w:sz w:val="24"/>
          <w:rtl/>
        </w:rPr>
        <w:t>ידון ב"דן יחיד" ו</w:t>
      </w:r>
      <w:r w:rsidRPr="00783C1D">
        <w:rPr>
          <w:rFonts w:ascii="David" w:hAnsi="David"/>
          <w:sz w:val="24"/>
          <w:rtl/>
        </w:rPr>
        <w:t>יתנהל בעיקרו באמצעים טכנולוגיים</w:t>
      </w:r>
      <w:r>
        <w:rPr>
          <w:rFonts w:hint="cs"/>
          <w:rtl/>
        </w:rPr>
        <w:t>,</w:t>
      </w:r>
      <w:r w:rsidRPr="00783C1D">
        <w:rPr>
          <w:rFonts w:hint="cs"/>
          <w:sz w:val="24"/>
          <w:rtl/>
        </w:rPr>
        <w:t xml:space="preserve"> </w:t>
      </w:r>
      <w:r w:rsidRPr="00783C1D">
        <w:rPr>
          <w:sz w:val="24"/>
          <w:rtl/>
        </w:rPr>
        <w:t>באמצעות ממשק דיגיטלי מתקדם ונוח לאזרח</w:t>
      </w:r>
      <w:r>
        <w:rPr>
          <w:rFonts w:hint="cs"/>
          <w:sz w:val="24"/>
          <w:rtl/>
        </w:rPr>
        <w:t xml:space="preserve"> </w:t>
      </w:r>
      <w:r w:rsidRPr="00783C1D">
        <w:rPr>
          <w:sz w:val="24"/>
          <w:rtl/>
        </w:rPr>
        <w:t>ועל בסיס מסמכים כתובים</w:t>
      </w:r>
      <w:r w:rsidRPr="00783C1D">
        <w:rPr>
          <w:rFonts w:hint="cs"/>
          <w:sz w:val="24"/>
          <w:rtl/>
        </w:rPr>
        <w:t xml:space="preserve">. </w:t>
      </w:r>
      <w:r w:rsidRPr="00783C1D">
        <w:rPr>
          <w:sz w:val="24"/>
          <w:rtl/>
        </w:rPr>
        <w:t xml:space="preserve">גם באותם מקרים בהם יידרש דיון פרונטלי, הדיון יתקיים באמצעות </w:t>
      </w:r>
      <w:r w:rsidRPr="00783C1D">
        <w:rPr>
          <w:rFonts w:hint="cs"/>
          <w:sz w:val="24"/>
          <w:rtl/>
        </w:rPr>
        <w:t xml:space="preserve">אמצעים טכנולוגיים </w:t>
      </w:r>
      <w:r w:rsidRPr="00783C1D">
        <w:rPr>
          <w:sz w:val="24"/>
          <w:rtl/>
        </w:rPr>
        <w:t xml:space="preserve">מבלי להידרש להגיע פיזית לאולם הדיונים, פרט למקרים חריגים. סדרי הדין ודיני הראיות יתאמו את המשפט </w:t>
      </w:r>
      <w:proofErr w:type="spellStart"/>
      <w:r w:rsidRPr="00783C1D">
        <w:rPr>
          <w:sz w:val="24"/>
          <w:rtl/>
        </w:rPr>
        <w:t>המינהלי</w:t>
      </w:r>
      <w:proofErr w:type="spellEnd"/>
      <w:r>
        <w:rPr>
          <w:rFonts w:hint="cs"/>
          <w:sz w:val="24"/>
          <w:rtl/>
        </w:rPr>
        <w:t>, באופן שיאפשר אכיפה יעילה ומקיפה יותר</w:t>
      </w:r>
      <w:r w:rsidRPr="00783C1D">
        <w:rPr>
          <w:rFonts w:ascii="David" w:hAnsi="David"/>
          <w:sz w:val="24"/>
          <w:rtl/>
        </w:rPr>
        <w:t>.</w:t>
      </w:r>
      <w:r w:rsidRPr="00783C1D">
        <w:rPr>
          <w:rFonts w:ascii="David" w:hAnsi="David" w:hint="cs"/>
          <w:sz w:val="24"/>
          <w:rtl/>
        </w:rPr>
        <w:t xml:space="preserve"> </w:t>
      </w:r>
    </w:p>
    <w:p w:rsidR="00347EE8" w:rsidRPr="003B1F55" w:rsidRDefault="00347EE8" w:rsidP="00AB3999">
      <w:pPr>
        <w:pStyle w:val="a3"/>
        <w:numPr>
          <w:ilvl w:val="0"/>
          <w:numId w:val="5"/>
        </w:numPr>
        <w:spacing w:line="360" w:lineRule="auto"/>
        <w:ind w:left="282" w:firstLine="567"/>
        <w:rPr>
          <w:sz w:val="24"/>
          <w:rtl/>
        </w:rPr>
      </w:pPr>
      <w:r w:rsidRPr="00C07CDF">
        <w:rPr>
          <w:rFonts w:hint="cs"/>
          <w:rtl/>
        </w:rPr>
        <w:t>הקמת מרשם ת</w:t>
      </w:r>
      <w:r w:rsidRPr="00860775">
        <w:rPr>
          <w:rFonts w:ascii="David" w:hAnsi="David" w:hint="cs"/>
          <w:sz w:val="24"/>
          <w:rtl/>
        </w:rPr>
        <w:t xml:space="preserve">עבורה </w:t>
      </w:r>
      <w:proofErr w:type="spellStart"/>
      <w:r w:rsidRPr="00860775">
        <w:rPr>
          <w:rFonts w:ascii="David" w:hAnsi="David" w:hint="cs"/>
          <w:sz w:val="24"/>
          <w:rtl/>
        </w:rPr>
        <w:t>מינהלי</w:t>
      </w:r>
      <w:proofErr w:type="spellEnd"/>
      <w:r w:rsidRPr="00860775">
        <w:rPr>
          <w:rFonts w:ascii="David" w:hAnsi="David" w:hint="cs"/>
          <w:sz w:val="24"/>
          <w:rtl/>
        </w:rPr>
        <w:t xml:space="preserve"> בדבר הפרות תעבורה בגינן הוטל קנס</w:t>
      </w:r>
      <w:r>
        <w:rPr>
          <w:rFonts w:ascii="David" w:hAnsi="David" w:hint="cs"/>
          <w:sz w:val="24"/>
          <w:rtl/>
        </w:rPr>
        <w:t xml:space="preserve"> </w:t>
      </w:r>
      <w:proofErr w:type="spellStart"/>
      <w:r>
        <w:rPr>
          <w:rFonts w:ascii="David" w:hAnsi="David" w:hint="cs"/>
          <w:sz w:val="24"/>
          <w:rtl/>
        </w:rPr>
        <w:t>מינהלי</w:t>
      </w:r>
      <w:proofErr w:type="spellEnd"/>
      <w:r w:rsidRPr="00860775">
        <w:rPr>
          <w:rFonts w:ascii="David" w:hAnsi="David" w:hint="cs"/>
          <w:sz w:val="24"/>
          <w:rtl/>
        </w:rPr>
        <w:t>. כיום, המרשם הפלילי כולל רישום בדבר עבירות תעבורה, לרבות עבירות "ברירת משפט". עם שינוי עבירות אלו להפרות תעבורה</w:t>
      </w:r>
      <w:r>
        <w:rPr>
          <w:rFonts w:ascii="David" w:hAnsi="David" w:hint="cs"/>
          <w:sz w:val="24"/>
          <w:rtl/>
        </w:rPr>
        <w:t xml:space="preserve">, אשר יטופלו במישור </w:t>
      </w:r>
      <w:proofErr w:type="spellStart"/>
      <w:r>
        <w:rPr>
          <w:rFonts w:ascii="David" w:hAnsi="David" w:hint="cs"/>
          <w:sz w:val="24"/>
          <w:rtl/>
        </w:rPr>
        <w:t>המינהלי</w:t>
      </w:r>
      <w:proofErr w:type="spellEnd"/>
      <w:r>
        <w:rPr>
          <w:rFonts w:ascii="David" w:hAnsi="David" w:hint="cs"/>
          <w:sz w:val="24"/>
          <w:rtl/>
        </w:rPr>
        <w:t xml:space="preserve">, </w:t>
      </w:r>
      <w:r w:rsidRPr="00860775">
        <w:rPr>
          <w:rFonts w:ascii="David" w:hAnsi="David" w:hint="cs"/>
          <w:sz w:val="24"/>
          <w:rtl/>
        </w:rPr>
        <w:t xml:space="preserve">עולה </w:t>
      </w:r>
      <w:r>
        <w:rPr>
          <w:rFonts w:hint="cs"/>
          <w:sz w:val="24"/>
          <w:rtl/>
        </w:rPr>
        <w:t>ה</w:t>
      </w:r>
      <w:r w:rsidRPr="00150782">
        <w:rPr>
          <w:sz w:val="24"/>
          <w:rtl/>
        </w:rPr>
        <w:t xml:space="preserve">צורך להקים מאגר מידע חדש אודות הפרות תעבורה </w:t>
      </w:r>
      <w:proofErr w:type="spellStart"/>
      <w:r w:rsidRPr="00150782">
        <w:rPr>
          <w:sz w:val="24"/>
          <w:rtl/>
        </w:rPr>
        <w:t>מינהליות</w:t>
      </w:r>
      <w:proofErr w:type="spellEnd"/>
      <w:r w:rsidRPr="00150782">
        <w:rPr>
          <w:sz w:val="24"/>
          <w:rtl/>
        </w:rPr>
        <w:t xml:space="preserve">. </w:t>
      </w:r>
      <w:r>
        <w:rPr>
          <w:rFonts w:hint="cs"/>
          <w:sz w:val="24"/>
          <w:rtl/>
        </w:rPr>
        <w:t xml:space="preserve">במסגרת הצעת החוק מוצע להסדיר את הפרטים שיכלול מרשם זה, וכן לקבוע הוראות לעניין הגורמים להם תהיה גישה למרשם ומסירת מידע </w:t>
      </w:r>
      <w:r w:rsidRPr="003B1F55">
        <w:rPr>
          <w:rFonts w:hint="cs"/>
          <w:sz w:val="24"/>
          <w:rtl/>
        </w:rPr>
        <w:t>מהמרשם</w:t>
      </w:r>
      <w:r w:rsidRPr="003B1F55">
        <w:rPr>
          <w:sz w:val="24"/>
          <w:rtl/>
        </w:rPr>
        <w:t xml:space="preserve">. </w:t>
      </w:r>
      <w:r w:rsidRPr="003B1F55">
        <w:rPr>
          <w:rFonts w:hint="cs"/>
          <w:sz w:val="24"/>
          <w:rtl/>
        </w:rPr>
        <w:t xml:space="preserve">מרשם זה נדרש הן כחלק מההליך בפני בית דין </w:t>
      </w:r>
      <w:r w:rsidRPr="003B1F55">
        <w:rPr>
          <w:rFonts w:hint="cs"/>
          <w:rtl/>
        </w:rPr>
        <w:t xml:space="preserve">לתעבורה </w:t>
      </w:r>
      <w:r w:rsidRPr="003B1F55">
        <w:rPr>
          <w:rFonts w:hint="cs"/>
          <w:sz w:val="24"/>
          <w:rtl/>
        </w:rPr>
        <w:t>(בפרט נוכח ההוראות בדבר עבריין תנועה מועד), והן נוכח ההשפעה שמוצע שתהיה</w:t>
      </w:r>
      <w:r w:rsidRPr="003B1F55">
        <w:rPr>
          <w:sz w:val="24"/>
          <w:rtl/>
        </w:rPr>
        <w:t xml:space="preserve"> </w:t>
      </w:r>
      <w:r w:rsidRPr="003B1F55">
        <w:rPr>
          <w:rFonts w:hint="cs"/>
          <w:sz w:val="24"/>
          <w:rtl/>
        </w:rPr>
        <w:t>ל</w:t>
      </w:r>
      <w:r w:rsidRPr="003B1F55">
        <w:rPr>
          <w:sz w:val="24"/>
          <w:rtl/>
        </w:rPr>
        <w:t xml:space="preserve">הפרות תעבורה לעניין רישוי מקצועות </w:t>
      </w:r>
      <w:proofErr w:type="spellStart"/>
      <w:r w:rsidRPr="003B1F55">
        <w:rPr>
          <w:sz w:val="24"/>
          <w:rtl/>
        </w:rPr>
        <w:t>תעבורתיים</w:t>
      </w:r>
      <w:proofErr w:type="spellEnd"/>
      <w:r w:rsidRPr="003B1F55">
        <w:rPr>
          <w:sz w:val="24"/>
          <w:rtl/>
        </w:rPr>
        <w:t xml:space="preserve">, וזאת על אף העובדה שהן נקבעו בהליך </w:t>
      </w:r>
      <w:proofErr w:type="spellStart"/>
      <w:r w:rsidRPr="003B1F55">
        <w:rPr>
          <w:sz w:val="24"/>
          <w:rtl/>
        </w:rPr>
        <w:t>מינהלי</w:t>
      </w:r>
      <w:proofErr w:type="spellEnd"/>
      <w:r w:rsidRPr="003B1F55">
        <w:rPr>
          <w:sz w:val="24"/>
          <w:rtl/>
        </w:rPr>
        <w:t xml:space="preserve">. </w:t>
      </w:r>
    </w:p>
    <w:p w:rsidR="00347EE8" w:rsidRPr="003B1F55" w:rsidRDefault="00347EE8" w:rsidP="00347EE8">
      <w:pPr>
        <w:rPr>
          <w:rFonts w:eastAsia="Calibri"/>
          <w:rtl/>
        </w:rPr>
      </w:pPr>
    </w:p>
    <w:p w:rsidR="00347EE8" w:rsidRPr="00723407" w:rsidRDefault="00347EE8" w:rsidP="00347EE8">
      <w:pPr>
        <w:ind w:firstLine="380"/>
        <w:rPr>
          <w:rFonts w:eastAsia="Calibri"/>
          <w:rtl/>
        </w:rPr>
      </w:pPr>
      <w:r w:rsidRPr="00723407">
        <w:rPr>
          <w:rFonts w:eastAsia="Calibri" w:hint="cs"/>
          <w:rtl/>
        </w:rPr>
        <w:t>במסגרת הצעת החוק, מוצעים מספר תיקונים עקיפים, בין השאר</w:t>
      </w:r>
      <w:r>
        <w:rPr>
          <w:rFonts w:eastAsia="Calibri" w:hint="cs"/>
          <w:rtl/>
        </w:rPr>
        <w:t>,</w:t>
      </w:r>
      <w:r w:rsidRPr="00723407">
        <w:rPr>
          <w:rFonts w:eastAsia="Calibri" w:hint="cs"/>
          <w:rtl/>
        </w:rPr>
        <w:t xml:space="preserve"> </w:t>
      </w:r>
      <w:r>
        <w:rPr>
          <w:rFonts w:hint="cs"/>
          <w:rtl/>
        </w:rPr>
        <w:t>לחוק סדר הדין הפלילי [נוסח משולב], השתמ"ב-1982</w:t>
      </w:r>
      <w:r>
        <w:rPr>
          <w:rStyle w:val="a9"/>
          <w:rtl/>
        </w:rPr>
        <w:footnoteReference w:id="4"/>
      </w:r>
      <w:r>
        <w:rPr>
          <w:rFonts w:hint="cs"/>
          <w:rtl/>
        </w:rPr>
        <w:t xml:space="preserve">, </w:t>
      </w:r>
      <w:r w:rsidRPr="00723407">
        <w:rPr>
          <w:rFonts w:eastAsia="Calibri" w:hint="cs"/>
          <w:rtl/>
        </w:rPr>
        <w:t>ולפקודת התעבורה</w:t>
      </w:r>
      <w:r>
        <w:rPr>
          <w:rFonts w:eastAsia="Calibri" w:hint="cs"/>
          <w:rtl/>
        </w:rPr>
        <w:t xml:space="preserve"> [נוסח חדש]</w:t>
      </w:r>
      <w:r>
        <w:rPr>
          <w:rStyle w:val="a9"/>
          <w:rFonts w:eastAsia="Calibri"/>
          <w:rtl/>
        </w:rPr>
        <w:footnoteReference w:id="5"/>
      </w:r>
      <w:r w:rsidRPr="00723407">
        <w:rPr>
          <w:rFonts w:eastAsia="Calibri" w:hint="cs"/>
          <w:rtl/>
        </w:rPr>
        <w:t xml:space="preserve">, אשר נועדו להתאים את דברי החקיקה שמסדירים כיום </w:t>
      </w:r>
      <w:r w:rsidRPr="00723407">
        <w:rPr>
          <w:rFonts w:hint="cs"/>
          <w:rtl/>
        </w:rPr>
        <w:t xml:space="preserve">את הטיפול </w:t>
      </w:r>
      <w:r w:rsidRPr="00723407">
        <w:rPr>
          <w:rtl/>
        </w:rPr>
        <w:t>בעבירות תעבורה מסוג "ברירת משפט"</w:t>
      </w:r>
      <w:r w:rsidRPr="00723407">
        <w:rPr>
          <w:rFonts w:eastAsia="Calibri" w:hint="cs"/>
          <w:rtl/>
        </w:rPr>
        <w:t>, להסדר המוצע.</w:t>
      </w:r>
    </w:p>
    <w:p w:rsidR="00347EE8" w:rsidRDefault="00347EE8" w:rsidP="000A70C2">
      <w:pPr>
        <w:rPr>
          <w:rtl/>
        </w:rPr>
      </w:pPr>
    </w:p>
    <w:p w:rsidR="00347EE8" w:rsidRDefault="00347EE8" w:rsidP="000A70C2">
      <w:pPr>
        <w:rPr>
          <w:rtl/>
        </w:rPr>
      </w:pPr>
    </w:p>
    <w:p w:rsidR="00347EE8" w:rsidRDefault="00347EE8" w:rsidP="000A70C2">
      <w:pPr>
        <w:pStyle w:val="4"/>
        <w:rPr>
          <w:rtl/>
        </w:rPr>
      </w:pPr>
      <w:bookmarkStart w:id="5" w:name="_Toc75433123"/>
      <w:r>
        <w:rPr>
          <w:rFonts w:hint="cs"/>
          <w:rtl/>
        </w:rPr>
        <w:t>השפעת החוק המוצע על קבוצות אוכלוסייה מסוימות</w:t>
      </w:r>
      <w:bookmarkEnd w:id="5"/>
      <w:r>
        <w:rPr>
          <w:rFonts w:hint="cs"/>
          <w:rtl/>
        </w:rPr>
        <w:t xml:space="preserve"> </w:t>
      </w:r>
    </w:p>
    <w:p w:rsidR="00347EE8" w:rsidRDefault="00347EE8" w:rsidP="00FE1884">
      <w:pPr>
        <w:rPr>
          <w:rtl/>
        </w:rPr>
      </w:pPr>
      <w:r>
        <w:rPr>
          <w:rFonts w:hint="cs"/>
          <w:rtl/>
        </w:rPr>
        <w:t xml:space="preserve">במסגרת התזכיר מוצע לקבוע, כאמור, הוראות בדבר קיום הליך </w:t>
      </w:r>
      <w:proofErr w:type="spellStart"/>
      <w:r>
        <w:rPr>
          <w:rFonts w:hint="cs"/>
          <w:rtl/>
        </w:rPr>
        <w:t>מינהלי</w:t>
      </w:r>
      <w:proofErr w:type="spellEnd"/>
      <w:r>
        <w:rPr>
          <w:rFonts w:hint="cs"/>
          <w:rtl/>
        </w:rPr>
        <w:t xml:space="preserve"> בפני בית דין לתעבורה, לרבות האפשרות לקיים דיונים באמצעים טכנולוגיים, וזאת חלף דיון בבית משפט. </w:t>
      </w:r>
      <w:r w:rsidR="00FE1884">
        <w:rPr>
          <w:rFonts w:hint="cs"/>
          <w:rtl/>
        </w:rPr>
        <w:t xml:space="preserve">בדומה לדין הפלילי, מוצע לקבוע, כי </w:t>
      </w:r>
      <w:r w:rsidR="00FE1884" w:rsidRPr="00345611">
        <w:rPr>
          <w:rStyle w:val="default"/>
          <w:rFonts w:asciiTheme="minorBidi" w:hAnsiTheme="minorBidi"/>
          <w:rtl/>
        </w:rPr>
        <w:t xml:space="preserve">גורם אכיפה לא </w:t>
      </w:r>
      <w:r w:rsidR="00FE1884">
        <w:rPr>
          <w:rStyle w:val="default"/>
          <w:rFonts w:asciiTheme="minorBidi" w:hAnsiTheme="minorBidi" w:hint="cs"/>
          <w:rtl/>
        </w:rPr>
        <w:t xml:space="preserve">יקבע כי בוצעה הפרת תעבורה ולא </w:t>
      </w:r>
      <w:proofErr w:type="spellStart"/>
      <w:r w:rsidR="00FE1884">
        <w:rPr>
          <w:rStyle w:val="default"/>
          <w:rFonts w:asciiTheme="minorBidi" w:hAnsiTheme="minorBidi" w:hint="cs"/>
          <w:rtl/>
        </w:rPr>
        <w:t>יתן</w:t>
      </w:r>
      <w:proofErr w:type="spellEnd"/>
      <w:r w:rsidR="00FE1884">
        <w:rPr>
          <w:rStyle w:val="default"/>
          <w:rFonts w:asciiTheme="minorBidi" w:hAnsiTheme="minorBidi" w:hint="cs"/>
          <w:rtl/>
        </w:rPr>
        <w:t xml:space="preserve"> קנס הפרה</w:t>
      </w:r>
      <w:r w:rsidR="00FE1884" w:rsidRPr="00345611">
        <w:rPr>
          <w:rStyle w:val="default"/>
          <w:rFonts w:asciiTheme="minorBidi" w:hAnsiTheme="minorBidi"/>
          <w:rtl/>
        </w:rPr>
        <w:t xml:space="preserve"> לגבי מעשה שעשה אדם בטרם מלאו לו </w:t>
      </w:r>
      <w:r w:rsidR="00FE1884" w:rsidRPr="00FC1E4A">
        <w:rPr>
          <w:rStyle w:val="default"/>
          <w:rFonts w:asciiTheme="minorBidi" w:hAnsiTheme="minorBidi"/>
          <w:rtl/>
        </w:rPr>
        <w:t>שתים עשרה שנים</w:t>
      </w:r>
      <w:r w:rsidR="00FE1884">
        <w:rPr>
          <w:rStyle w:val="default"/>
          <w:rFonts w:asciiTheme="minorBidi" w:hAnsiTheme="minorBidi" w:hint="cs"/>
          <w:rtl/>
        </w:rPr>
        <w:t xml:space="preserve">. בנוסף, </w:t>
      </w:r>
      <w:r w:rsidR="00FE1884">
        <w:rPr>
          <w:rFonts w:hint="cs"/>
          <w:rtl/>
        </w:rPr>
        <w:t xml:space="preserve">לא </w:t>
      </w:r>
      <w:r>
        <w:rPr>
          <w:rFonts w:hint="cs"/>
          <w:rtl/>
        </w:rPr>
        <w:t>התזכיר כולל הוראה ייחודית בכל הנוגע להפרות המבוצעות על-ידי קטינים, בדבר שליחת הודעה על הפרת תעבורה לאחד מהורי הקטין. סדרי הדין ודיני הראיות בבית דין לתעבורה יוסדרו במסגרת התקנות, ובמסגרת זו גם יקבעו הסדרים ייחודים בכל הנוגע לקיום הליכים בעניינם של קטינים ואנשים עם מוגבלויות, והכל בהתאם לעקרונות חוק הנוער (שפיטה, ענישה ודרכי טיפול), התשל"א-1971</w:t>
      </w:r>
      <w:r>
        <w:rPr>
          <w:rStyle w:val="a9"/>
          <w:rtl/>
        </w:rPr>
        <w:footnoteReference w:id="6"/>
      </w:r>
      <w:r>
        <w:rPr>
          <w:rFonts w:hint="cs"/>
          <w:rtl/>
        </w:rPr>
        <w:t xml:space="preserve"> וחוק שוויון זכויות לאנשים עם מוגבלות, התשנ"ח-1998</w:t>
      </w:r>
      <w:r>
        <w:rPr>
          <w:rStyle w:val="a9"/>
          <w:rtl/>
        </w:rPr>
        <w:footnoteReference w:id="7"/>
      </w:r>
      <w:r>
        <w:rPr>
          <w:rFonts w:hint="cs"/>
          <w:rtl/>
        </w:rPr>
        <w:t>, בהתאמה.</w:t>
      </w:r>
    </w:p>
    <w:p w:rsidR="00347EE8" w:rsidRDefault="00347EE8" w:rsidP="000A70C2">
      <w:pPr>
        <w:rPr>
          <w:rtl/>
        </w:rPr>
      </w:pPr>
    </w:p>
    <w:p w:rsidR="00347EE8" w:rsidRDefault="00347EE8" w:rsidP="000A70C2">
      <w:pPr>
        <w:pStyle w:val="4"/>
        <w:rPr>
          <w:rtl/>
        </w:rPr>
      </w:pPr>
      <w:bookmarkStart w:id="6" w:name="_Toc75433124"/>
      <w:r>
        <w:rPr>
          <w:rFonts w:hint="cs"/>
          <w:rtl/>
        </w:rPr>
        <w:t>השפעת תזכיר החוק המוצע על התקציב ועל התקן המנהלי של המשרד היוזם, משרדים אחרים ורשויות אחרות.</w:t>
      </w:r>
      <w:bookmarkEnd w:id="6"/>
      <w:r>
        <w:rPr>
          <w:rFonts w:hint="cs"/>
          <w:rtl/>
        </w:rPr>
        <w:t xml:space="preserve"> </w:t>
      </w:r>
    </w:p>
    <w:p w:rsidR="00347EE8" w:rsidRPr="00BD510E" w:rsidRDefault="00BD510E" w:rsidP="00B7683B">
      <w:pPr>
        <w:rPr>
          <w:rtl/>
        </w:rPr>
      </w:pPr>
      <w:r>
        <w:rPr>
          <w:rFonts w:hint="cs"/>
          <w:rtl/>
        </w:rPr>
        <w:t xml:space="preserve">העלות מוערכת ב-15 מיליון ₪ וקידום החקיקה </w:t>
      </w:r>
      <w:r w:rsidR="00B7683B">
        <w:rPr>
          <w:rFonts w:hint="cs"/>
          <w:rtl/>
        </w:rPr>
        <w:t>מותנה במציאת מקור תקציבי לצורך כך.</w:t>
      </w:r>
    </w:p>
    <w:p w:rsidR="00347EE8" w:rsidRDefault="00347EE8" w:rsidP="000A70C2">
      <w:pPr>
        <w:rPr>
          <w:rtl/>
        </w:rPr>
      </w:pPr>
    </w:p>
    <w:p w:rsidR="00347EE8" w:rsidRDefault="00347EE8" w:rsidP="000A70C2">
      <w:pPr>
        <w:pStyle w:val="4"/>
        <w:rPr>
          <w:rtl/>
        </w:rPr>
      </w:pPr>
      <w:bookmarkStart w:id="7" w:name="_Toc75433125"/>
      <w:r>
        <w:rPr>
          <w:rFonts w:hint="cs"/>
          <w:rtl/>
        </w:rPr>
        <w:t>להלן נוסח תזכיר החוק המוצע ודברי הסבר</w:t>
      </w:r>
      <w:bookmarkEnd w:id="7"/>
    </w:p>
    <w:p w:rsidR="00347EE8" w:rsidRDefault="00347EE8" w:rsidP="000A70C2">
      <w:pPr>
        <w:bidi w:val="0"/>
        <w:rPr>
          <w:rFonts w:asciiTheme="minorHAnsi" w:hAnsiTheme="minorHAnsi"/>
          <w:rtl/>
        </w:rPr>
      </w:pPr>
      <w:r>
        <w:rPr>
          <w:rtl/>
        </w:rPr>
        <w:br w:type="page"/>
      </w:r>
    </w:p>
    <w:p w:rsidR="00347EE8" w:rsidRDefault="00347EE8" w:rsidP="00347EE8">
      <w:pPr>
        <w:pStyle w:val="HeadMitparsemetBaze"/>
        <w:keepNext w:val="0"/>
        <w:keepLines w:val="0"/>
        <w:pageBreakBefore w:val="0"/>
      </w:pPr>
      <w:r>
        <w:rPr>
          <w:rtl/>
        </w:rPr>
        <w:t>תזכיר חוק מטעם משרד</w:t>
      </w:r>
      <w:r>
        <w:rPr>
          <w:rFonts w:hint="cs"/>
          <w:rtl/>
        </w:rPr>
        <w:t xml:space="preserve"> המשפטים:</w:t>
      </w:r>
      <w:r>
        <w:rPr>
          <w:rtl/>
        </w:rPr>
        <w:t xml:space="preserve"> </w:t>
      </w:r>
    </w:p>
    <w:p w:rsidR="00347EE8" w:rsidRDefault="00347EE8" w:rsidP="00347EE8">
      <w:pPr>
        <w:pStyle w:val="HeadHatzaotHok"/>
        <w:keepNext w:val="0"/>
        <w:keepLines w:val="0"/>
        <w:rPr>
          <w:rtl/>
        </w:rPr>
      </w:pPr>
      <w:bookmarkStart w:id="8" w:name="_Toc503130994"/>
      <w:bookmarkStart w:id="9" w:name="_Toc74773756"/>
      <w:bookmarkStart w:id="10" w:name="_Toc75433126"/>
      <w:r>
        <w:rPr>
          <w:rtl/>
        </w:rPr>
        <w:t>תזכיר חו</w:t>
      </w:r>
      <w:bookmarkEnd w:id="8"/>
      <w:r>
        <w:rPr>
          <w:rFonts w:hint="cs"/>
          <w:rtl/>
        </w:rPr>
        <w:t xml:space="preserve">ק הפרות תעבורה </w:t>
      </w:r>
      <w:proofErr w:type="spellStart"/>
      <w:r>
        <w:rPr>
          <w:rFonts w:hint="cs"/>
          <w:rtl/>
        </w:rPr>
        <w:t>מינהליות</w:t>
      </w:r>
      <w:proofErr w:type="spellEnd"/>
      <w:r>
        <w:rPr>
          <w:rFonts w:hint="cs"/>
          <w:rtl/>
        </w:rPr>
        <w:t xml:space="preserve"> התשפ"א-2021</w:t>
      </w:r>
      <w:bookmarkEnd w:id="9"/>
      <w:bookmarkEnd w:id="10"/>
    </w:p>
    <w:tbl>
      <w:tblPr>
        <w:bidiVisual/>
        <w:tblW w:w="9641" w:type="dxa"/>
        <w:tblLayout w:type="fixed"/>
        <w:tblCellMar>
          <w:top w:w="57" w:type="dxa"/>
          <w:left w:w="0" w:type="dxa"/>
          <w:bottom w:w="57" w:type="dxa"/>
          <w:right w:w="0" w:type="dxa"/>
        </w:tblCellMar>
        <w:tblLook w:val="01E0" w:firstRow="1" w:lastRow="1" w:firstColumn="1" w:lastColumn="1" w:noHBand="0" w:noVBand="0"/>
      </w:tblPr>
      <w:tblGrid>
        <w:gridCol w:w="1871"/>
        <w:gridCol w:w="624"/>
        <w:gridCol w:w="624"/>
        <w:gridCol w:w="624"/>
        <w:gridCol w:w="624"/>
        <w:gridCol w:w="624"/>
        <w:gridCol w:w="4650"/>
      </w:tblGrid>
      <w:tr w:rsidR="00347EE8" w:rsidTr="00B00EBD">
        <w:trPr>
          <w:cantSplit/>
          <w:trHeight w:val="60"/>
        </w:trPr>
        <w:tc>
          <w:tcPr>
            <w:tcW w:w="1871" w:type="dxa"/>
          </w:tcPr>
          <w:p w:rsidR="00347EE8" w:rsidRDefault="00347EE8">
            <w:pPr>
              <w:pStyle w:val="TableSideHeading"/>
              <w:rPr>
                <w:rtl/>
              </w:rPr>
            </w:pPr>
          </w:p>
        </w:tc>
        <w:tc>
          <w:tcPr>
            <w:tcW w:w="624" w:type="dxa"/>
          </w:tcPr>
          <w:p w:rsidR="00347EE8" w:rsidRDefault="00347EE8">
            <w:pPr>
              <w:pStyle w:val="TableText"/>
            </w:pPr>
          </w:p>
        </w:tc>
        <w:tc>
          <w:tcPr>
            <w:tcW w:w="7146" w:type="dxa"/>
            <w:gridSpan w:val="5"/>
          </w:tcPr>
          <w:p w:rsidR="00347EE8" w:rsidRDefault="00347EE8">
            <w:pPr>
              <w:pStyle w:val="TableHead"/>
            </w:pPr>
          </w:p>
        </w:tc>
      </w:tr>
      <w:tr w:rsidR="00347EE8" w:rsidTr="00B00EBD">
        <w:trPr>
          <w:cantSplit/>
          <w:trHeight w:val="60"/>
        </w:trPr>
        <w:tc>
          <w:tcPr>
            <w:tcW w:w="1871" w:type="dxa"/>
          </w:tcPr>
          <w:p w:rsidR="00347EE8" w:rsidRPr="00B00EBD" w:rsidRDefault="00B00EBD" w:rsidP="00B00EBD">
            <w:pPr>
              <w:pStyle w:val="TableSideHeading"/>
              <w:outlineLvl w:val="9"/>
            </w:pPr>
            <w:bookmarkStart w:id="11" w:name="_Toc75433127"/>
            <w:r w:rsidRPr="00B00EBD">
              <w:rPr>
                <w:rFonts w:hint="cs"/>
                <w:rtl/>
              </w:rPr>
              <w:t>הגדרות</w:t>
            </w:r>
            <w:bookmarkEnd w:id="11"/>
          </w:p>
        </w:tc>
        <w:tc>
          <w:tcPr>
            <w:tcW w:w="624" w:type="dxa"/>
          </w:tcPr>
          <w:p w:rsidR="00347EE8" w:rsidRDefault="00347EE8" w:rsidP="00347EE8">
            <w:pPr>
              <w:pStyle w:val="TableText"/>
              <w:numPr>
                <w:ilvl w:val="0"/>
                <w:numId w:val="2"/>
              </w:numPr>
            </w:pPr>
          </w:p>
        </w:tc>
        <w:tc>
          <w:tcPr>
            <w:tcW w:w="7146" w:type="dxa"/>
            <w:gridSpan w:val="5"/>
          </w:tcPr>
          <w:p w:rsidR="00347EE8" w:rsidRDefault="00B00EBD">
            <w:pPr>
              <w:pStyle w:val="TableBlock"/>
            </w:pPr>
            <w:r>
              <w:rPr>
                <w:rFonts w:hint="cs"/>
                <w:rtl/>
              </w:rPr>
              <w:t xml:space="preserve">בחוק זה </w:t>
            </w:r>
            <w:r>
              <w:rPr>
                <w:rtl/>
              </w:rPr>
              <w:t>–</w:t>
            </w:r>
            <w:r>
              <w:rPr>
                <w:rFonts w:hint="cs"/>
                <w:rtl/>
              </w:rPr>
              <w:t xml:space="preserve"> </w:t>
            </w:r>
          </w:p>
        </w:tc>
      </w:tr>
      <w:tr w:rsidR="00B00EBD" w:rsidTr="00B00EBD">
        <w:trPr>
          <w:cantSplit/>
          <w:trHeight w:val="60"/>
        </w:trPr>
        <w:tc>
          <w:tcPr>
            <w:tcW w:w="1871" w:type="dxa"/>
          </w:tcPr>
          <w:p w:rsidR="00B00EBD" w:rsidRDefault="00B00EBD">
            <w:pPr>
              <w:pStyle w:val="TableSideHeading"/>
              <w:rPr>
                <w:rtl/>
              </w:rPr>
            </w:pPr>
          </w:p>
        </w:tc>
        <w:tc>
          <w:tcPr>
            <w:tcW w:w="624" w:type="dxa"/>
          </w:tcPr>
          <w:p w:rsidR="00B00EBD" w:rsidRDefault="00B00EBD" w:rsidP="00B00EBD">
            <w:pPr>
              <w:pStyle w:val="TableText"/>
            </w:pPr>
          </w:p>
        </w:tc>
        <w:tc>
          <w:tcPr>
            <w:tcW w:w="7146" w:type="dxa"/>
            <w:gridSpan w:val="5"/>
          </w:tcPr>
          <w:p w:rsidR="00B00EBD" w:rsidRPr="00B00EBD" w:rsidRDefault="00B00EBD" w:rsidP="00B00EBD">
            <w:pPr>
              <w:pStyle w:val="TableBlockOutdent"/>
              <w:rPr>
                <w:rtl/>
              </w:rPr>
            </w:pPr>
            <w:r>
              <w:rPr>
                <w:rtl/>
              </w:rPr>
              <w:t>"</w:t>
            </w:r>
            <w:r>
              <w:rPr>
                <w:rFonts w:hint="cs"/>
                <w:rtl/>
              </w:rPr>
              <w:t xml:space="preserve"> אדם עם מוגבלות" </w:t>
            </w:r>
            <w:r>
              <w:rPr>
                <w:rtl/>
              </w:rPr>
              <w:t>–</w:t>
            </w:r>
            <w:r>
              <w:rPr>
                <w:rFonts w:hint="cs"/>
                <w:rtl/>
              </w:rPr>
              <w:t xml:space="preserve"> אדם עם מוגבלות לפי חוק שוויון זכויות לאנשים עם מוגבלות;</w:t>
            </w:r>
          </w:p>
        </w:tc>
      </w:tr>
      <w:tr w:rsidR="00B00EBD" w:rsidTr="00B00EBD">
        <w:trPr>
          <w:cantSplit/>
          <w:trHeight w:val="60"/>
        </w:trPr>
        <w:tc>
          <w:tcPr>
            <w:tcW w:w="1871" w:type="dxa"/>
          </w:tcPr>
          <w:p w:rsidR="00B00EBD" w:rsidRDefault="00B00EBD" w:rsidP="00B00EBD">
            <w:pPr>
              <w:pStyle w:val="TableSideHeading"/>
              <w:rPr>
                <w:rtl/>
              </w:rPr>
            </w:pPr>
          </w:p>
        </w:tc>
        <w:tc>
          <w:tcPr>
            <w:tcW w:w="624" w:type="dxa"/>
          </w:tcPr>
          <w:p w:rsidR="00B00EBD" w:rsidRDefault="00B00EBD" w:rsidP="00B00EBD">
            <w:pPr>
              <w:pStyle w:val="TableText"/>
            </w:pPr>
          </w:p>
        </w:tc>
        <w:tc>
          <w:tcPr>
            <w:tcW w:w="7146" w:type="dxa"/>
            <w:gridSpan w:val="5"/>
          </w:tcPr>
          <w:p w:rsidR="00B00EBD" w:rsidRDefault="00B00EBD" w:rsidP="00BD510E">
            <w:pPr>
              <w:pStyle w:val="TableBlock"/>
              <w:rPr>
                <w:rtl/>
              </w:rPr>
            </w:pPr>
            <w:r>
              <w:rPr>
                <w:rFonts w:hint="cs"/>
                <w:rtl/>
              </w:rPr>
              <w:t xml:space="preserve">"בית דין לתעבורה" </w:t>
            </w:r>
            <w:r>
              <w:rPr>
                <w:rtl/>
              </w:rPr>
              <w:t>–</w:t>
            </w:r>
            <w:r>
              <w:rPr>
                <w:rFonts w:hint="cs"/>
                <w:rtl/>
              </w:rPr>
              <w:t xml:space="preserve"> בית </w:t>
            </w:r>
            <w:r w:rsidRPr="00FE1884">
              <w:rPr>
                <w:rFonts w:hint="cs"/>
                <w:rtl/>
              </w:rPr>
              <w:t xml:space="preserve">דין שהוקם לפי </w:t>
            </w:r>
            <w:r w:rsidRPr="00FE1884">
              <w:rPr>
                <w:rFonts w:hint="eastAsia"/>
                <w:rtl/>
              </w:rPr>
              <w:t>סעיף</w:t>
            </w:r>
            <w:r w:rsidRPr="00FE1884">
              <w:rPr>
                <w:rtl/>
              </w:rPr>
              <w:t xml:space="preserve"> </w:t>
            </w:r>
            <w:r w:rsidR="00BD510E">
              <w:rPr>
                <w:rFonts w:hint="cs"/>
                <w:rtl/>
              </w:rPr>
              <w:t>13</w:t>
            </w:r>
            <w:r w:rsidRPr="00FE1884">
              <w:rPr>
                <w:rtl/>
              </w:rPr>
              <w:t>;</w:t>
            </w:r>
          </w:p>
        </w:tc>
      </w:tr>
      <w:tr w:rsidR="00B00EBD">
        <w:trPr>
          <w:cantSplit/>
          <w:trHeight w:val="60"/>
        </w:trPr>
        <w:tc>
          <w:tcPr>
            <w:tcW w:w="1871" w:type="dxa"/>
          </w:tcPr>
          <w:p w:rsidR="00B00EBD" w:rsidRDefault="00B00EBD">
            <w:pPr>
              <w:pStyle w:val="TableSideHeading"/>
            </w:pPr>
          </w:p>
        </w:tc>
        <w:tc>
          <w:tcPr>
            <w:tcW w:w="624" w:type="dxa"/>
          </w:tcPr>
          <w:p w:rsidR="00B00EBD" w:rsidRDefault="00B00EBD">
            <w:pPr>
              <w:pStyle w:val="TableText"/>
            </w:pPr>
          </w:p>
        </w:tc>
        <w:tc>
          <w:tcPr>
            <w:tcW w:w="7146" w:type="dxa"/>
            <w:gridSpan w:val="5"/>
          </w:tcPr>
          <w:p w:rsidR="00B00EBD" w:rsidRPr="00B00EBD" w:rsidRDefault="00B00EBD" w:rsidP="00BD510E">
            <w:pPr>
              <w:pStyle w:val="TableBlockOutdent"/>
            </w:pPr>
            <w:r>
              <w:rPr>
                <w:rtl/>
              </w:rPr>
              <w:t>"</w:t>
            </w:r>
            <w:r>
              <w:rPr>
                <w:rFonts w:hint="cs"/>
                <w:rtl/>
              </w:rPr>
              <w:t xml:space="preserve">בקשה לביטול" </w:t>
            </w:r>
            <w:r>
              <w:rPr>
                <w:rtl/>
              </w:rPr>
              <w:t>–</w:t>
            </w:r>
            <w:r>
              <w:rPr>
                <w:rFonts w:hint="cs"/>
                <w:rtl/>
              </w:rPr>
              <w:t xml:space="preserve"> בקשה לביטול החלטה והודעת תשלום קנס </w:t>
            </w:r>
            <w:proofErr w:type="spellStart"/>
            <w:r>
              <w:rPr>
                <w:rFonts w:hint="cs"/>
                <w:rtl/>
              </w:rPr>
              <w:t>מינהלי</w:t>
            </w:r>
            <w:proofErr w:type="spellEnd"/>
            <w:r>
              <w:rPr>
                <w:rFonts w:hint="cs"/>
                <w:rtl/>
              </w:rPr>
              <w:t xml:space="preserve">, בהתאם לסעיפים </w:t>
            </w:r>
            <w:r w:rsidR="00BD510E">
              <w:rPr>
                <w:rFonts w:hint="cs"/>
                <w:rtl/>
              </w:rPr>
              <w:t>9</w:t>
            </w:r>
            <w:r>
              <w:rPr>
                <w:rFonts w:hint="cs"/>
                <w:rtl/>
              </w:rPr>
              <w:t>(א)(1) ו-</w:t>
            </w:r>
            <w:r w:rsidR="00BD510E">
              <w:rPr>
                <w:rFonts w:hint="cs"/>
                <w:rtl/>
              </w:rPr>
              <w:t>9</w:t>
            </w:r>
            <w:r>
              <w:rPr>
                <w:rFonts w:hint="cs"/>
                <w:rtl/>
              </w:rPr>
              <w:t>(א)(1)(2);</w:t>
            </w:r>
          </w:p>
        </w:tc>
      </w:tr>
      <w:tr w:rsidR="00B00EBD">
        <w:trPr>
          <w:cantSplit/>
          <w:trHeight w:val="60"/>
        </w:trPr>
        <w:tc>
          <w:tcPr>
            <w:tcW w:w="1871" w:type="dxa"/>
          </w:tcPr>
          <w:p w:rsidR="00B00EBD" w:rsidRDefault="00B00EBD">
            <w:pPr>
              <w:pStyle w:val="TableSideHeading"/>
            </w:pPr>
          </w:p>
        </w:tc>
        <w:tc>
          <w:tcPr>
            <w:tcW w:w="624" w:type="dxa"/>
          </w:tcPr>
          <w:p w:rsidR="00B00EBD" w:rsidRDefault="00B00EBD">
            <w:pPr>
              <w:pStyle w:val="TableText"/>
            </w:pPr>
          </w:p>
        </w:tc>
        <w:tc>
          <w:tcPr>
            <w:tcW w:w="7146" w:type="dxa"/>
            <w:gridSpan w:val="5"/>
          </w:tcPr>
          <w:p w:rsidR="00B00EBD" w:rsidRPr="00B00EBD" w:rsidRDefault="00B00EBD" w:rsidP="00B00EBD">
            <w:pPr>
              <w:pStyle w:val="TableBlockOutdent"/>
              <w:rPr>
                <w:rtl/>
              </w:rPr>
            </w:pPr>
            <w:r>
              <w:rPr>
                <w:rtl/>
              </w:rPr>
              <w:t>"</w:t>
            </w:r>
            <w:r w:rsidRPr="00581237">
              <w:rPr>
                <w:rFonts w:hint="cs"/>
                <w:rtl/>
              </w:rPr>
              <w:t xml:space="preserve">גורם אכיפה" </w:t>
            </w:r>
            <w:r w:rsidRPr="00581237">
              <w:rPr>
                <w:rtl/>
              </w:rPr>
              <w:t>–</w:t>
            </w:r>
            <w:r w:rsidRPr="00581237">
              <w:rPr>
                <w:rFonts w:hint="cs"/>
                <w:rtl/>
              </w:rPr>
              <w:t xml:space="preserve"> </w:t>
            </w:r>
            <w:r>
              <w:rPr>
                <w:rFonts w:hint="cs"/>
                <w:rtl/>
              </w:rPr>
              <w:t>שוטר וכל גורם אחר שהוסמך לבצע אכיפה של הפרות תעבורה לפי סעיף 6</w:t>
            </w:r>
            <w:r w:rsidRPr="00581237">
              <w:rPr>
                <w:rFonts w:hint="cs"/>
                <w:rtl/>
              </w:rPr>
              <w:t>;</w:t>
            </w:r>
          </w:p>
        </w:tc>
      </w:tr>
      <w:tr w:rsidR="00B00EBD">
        <w:trPr>
          <w:cantSplit/>
          <w:trHeight w:val="60"/>
        </w:trPr>
        <w:tc>
          <w:tcPr>
            <w:tcW w:w="1871" w:type="dxa"/>
          </w:tcPr>
          <w:p w:rsidR="00B00EBD" w:rsidRDefault="00B00EBD">
            <w:pPr>
              <w:pStyle w:val="TableSideHeading"/>
            </w:pPr>
          </w:p>
        </w:tc>
        <w:tc>
          <w:tcPr>
            <w:tcW w:w="624" w:type="dxa"/>
          </w:tcPr>
          <w:p w:rsidR="00B00EBD" w:rsidRDefault="00B00EBD">
            <w:pPr>
              <w:pStyle w:val="TableText"/>
            </w:pPr>
          </w:p>
        </w:tc>
        <w:tc>
          <w:tcPr>
            <w:tcW w:w="7146" w:type="dxa"/>
            <w:gridSpan w:val="5"/>
          </w:tcPr>
          <w:p w:rsidR="00B00EBD" w:rsidRPr="00B00EBD" w:rsidRDefault="00B00EBD" w:rsidP="00B00EBD">
            <w:pPr>
              <w:pStyle w:val="TableBlockOutdent"/>
              <w:rPr>
                <w:rtl/>
              </w:rPr>
            </w:pPr>
            <w:r>
              <w:rPr>
                <w:rtl/>
              </w:rPr>
              <w:t>"</w:t>
            </w:r>
            <w:r>
              <w:rPr>
                <w:rFonts w:hint="cs"/>
                <w:rtl/>
              </w:rPr>
              <w:t xml:space="preserve">דיון באמצעים טכנולוגיים" </w:t>
            </w:r>
            <w:r>
              <w:rPr>
                <w:rtl/>
              </w:rPr>
              <w:t>–</w:t>
            </w:r>
            <w:r>
              <w:rPr>
                <w:rFonts w:hint="cs"/>
                <w:rtl/>
              </w:rPr>
              <w:t xml:space="preserve"> דיון באמצעים המאפשרים העברת תמונה וקול בזמן אמת, בהם ניתן לשמוע ולראות את המשתתפים בדיון, וכן להישמע, במהלך הדיון;</w:t>
            </w:r>
          </w:p>
        </w:tc>
      </w:tr>
      <w:tr w:rsidR="00B00EBD">
        <w:trPr>
          <w:cantSplit/>
          <w:trHeight w:val="60"/>
        </w:trPr>
        <w:tc>
          <w:tcPr>
            <w:tcW w:w="1871" w:type="dxa"/>
          </w:tcPr>
          <w:p w:rsidR="00B00EBD" w:rsidRDefault="00B00EBD">
            <w:pPr>
              <w:pStyle w:val="TableSideHeading"/>
            </w:pPr>
          </w:p>
        </w:tc>
        <w:tc>
          <w:tcPr>
            <w:tcW w:w="624" w:type="dxa"/>
          </w:tcPr>
          <w:p w:rsidR="00B00EBD" w:rsidRDefault="00B00EBD">
            <w:pPr>
              <w:pStyle w:val="TableText"/>
            </w:pPr>
          </w:p>
        </w:tc>
        <w:tc>
          <w:tcPr>
            <w:tcW w:w="7146" w:type="dxa"/>
            <w:gridSpan w:val="5"/>
          </w:tcPr>
          <w:p w:rsidR="00B00EBD" w:rsidRPr="00B00EBD" w:rsidRDefault="00B00EBD" w:rsidP="00B00EBD">
            <w:pPr>
              <w:pStyle w:val="TableBlockOutdent"/>
              <w:rPr>
                <w:rtl/>
              </w:rPr>
            </w:pPr>
            <w:r>
              <w:rPr>
                <w:rtl/>
              </w:rPr>
              <w:t>"</w:t>
            </w:r>
            <w:r w:rsidRPr="00C81146">
              <w:rPr>
                <w:rFonts w:hint="cs"/>
                <w:rtl/>
              </w:rPr>
              <w:t xml:space="preserve">הפרת תעבורה" </w:t>
            </w:r>
            <w:r w:rsidRPr="00C81146">
              <w:rPr>
                <w:rtl/>
              </w:rPr>
              <w:t>–</w:t>
            </w:r>
            <w:r w:rsidRPr="00C81146">
              <w:rPr>
                <w:rFonts w:hint="cs"/>
                <w:rtl/>
              </w:rPr>
              <w:t xml:space="preserve"> ביצוע הפרה </w:t>
            </w:r>
            <w:r w:rsidRPr="003B1F55">
              <w:rPr>
                <w:rFonts w:hint="cs"/>
                <w:rtl/>
              </w:rPr>
              <w:t xml:space="preserve">המנויה בתוספת </w:t>
            </w:r>
            <w:r>
              <w:rPr>
                <w:rFonts w:hint="cs"/>
                <w:rtl/>
              </w:rPr>
              <w:t>השנייה</w:t>
            </w:r>
            <w:r w:rsidRPr="003B1F55">
              <w:rPr>
                <w:rFonts w:hint="cs"/>
                <w:rtl/>
              </w:rPr>
              <w:t xml:space="preserve"> לחוק זה</w:t>
            </w:r>
            <w:r>
              <w:rPr>
                <w:rFonts w:hint="cs"/>
                <w:rtl/>
              </w:rPr>
              <w:t>;</w:t>
            </w:r>
          </w:p>
        </w:tc>
      </w:tr>
      <w:tr w:rsidR="00B00EBD">
        <w:trPr>
          <w:cantSplit/>
          <w:trHeight w:val="60"/>
        </w:trPr>
        <w:tc>
          <w:tcPr>
            <w:tcW w:w="1871" w:type="dxa"/>
          </w:tcPr>
          <w:p w:rsidR="00B00EBD" w:rsidRDefault="00B00EBD">
            <w:pPr>
              <w:pStyle w:val="TableSideHeading"/>
            </w:pPr>
          </w:p>
        </w:tc>
        <w:tc>
          <w:tcPr>
            <w:tcW w:w="624" w:type="dxa"/>
          </w:tcPr>
          <w:p w:rsidR="00B00EBD" w:rsidRDefault="00B00EBD">
            <w:pPr>
              <w:pStyle w:val="TableText"/>
            </w:pPr>
          </w:p>
        </w:tc>
        <w:tc>
          <w:tcPr>
            <w:tcW w:w="7146" w:type="dxa"/>
            <w:gridSpan w:val="5"/>
          </w:tcPr>
          <w:p w:rsidR="00B00EBD" w:rsidRPr="00B00EBD" w:rsidRDefault="00B00EBD" w:rsidP="00B00EBD">
            <w:pPr>
              <w:pStyle w:val="TableBlockOutdent"/>
              <w:rPr>
                <w:rtl/>
              </w:rPr>
            </w:pPr>
            <w:r>
              <w:rPr>
                <w:rtl/>
              </w:rPr>
              <w:t>"</w:t>
            </w:r>
            <w:r>
              <w:rPr>
                <w:rFonts w:hint="cs"/>
                <w:rtl/>
              </w:rPr>
              <w:t xml:space="preserve">חוק בתי דין </w:t>
            </w:r>
            <w:proofErr w:type="spellStart"/>
            <w:r>
              <w:rPr>
                <w:rFonts w:hint="cs"/>
                <w:rtl/>
              </w:rPr>
              <w:t>מינהליים</w:t>
            </w:r>
            <w:proofErr w:type="spellEnd"/>
            <w:r>
              <w:rPr>
                <w:rFonts w:hint="cs"/>
                <w:rtl/>
              </w:rPr>
              <w:t xml:space="preserve">" </w:t>
            </w:r>
            <w:r>
              <w:rPr>
                <w:rtl/>
              </w:rPr>
              <w:t>–</w:t>
            </w:r>
            <w:r>
              <w:rPr>
                <w:rFonts w:hint="cs"/>
                <w:rtl/>
              </w:rPr>
              <w:t xml:space="preserve"> חוק בתי דין </w:t>
            </w:r>
            <w:proofErr w:type="spellStart"/>
            <w:r>
              <w:rPr>
                <w:rFonts w:hint="cs"/>
                <w:rtl/>
              </w:rPr>
              <w:t>מינהליים</w:t>
            </w:r>
            <w:proofErr w:type="spellEnd"/>
            <w:r>
              <w:rPr>
                <w:rFonts w:hint="cs"/>
                <w:rtl/>
              </w:rPr>
              <w:t>, התשנ"ב-1992</w:t>
            </w:r>
            <w:r>
              <w:rPr>
                <w:rStyle w:val="a9"/>
                <w:rtl/>
              </w:rPr>
              <w:footnoteReference w:id="8"/>
            </w:r>
            <w:r>
              <w:rPr>
                <w:rFonts w:hint="cs"/>
                <w:rtl/>
              </w:rPr>
              <w:t>;</w:t>
            </w:r>
          </w:p>
        </w:tc>
      </w:tr>
      <w:tr w:rsidR="00B00EBD">
        <w:trPr>
          <w:cantSplit/>
          <w:trHeight w:val="60"/>
        </w:trPr>
        <w:tc>
          <w:tcPr>
            <w:tcW w:w="1871" w:type="dxa"/>
          </w:tcPr>
          <w:p w:rsidR="00B00EBD" w:rsidRDefault="00B00EBD">
            <w:pPr>
              <w:pStyle w:val="TableSideHeading"/>
            </w:pPr>
          </w:p>
        </w:tc>
        <w:tc>
          <w:tcPr>
            <w:tcW w:w="624" w:type="dxa"/>
          </w:tcPr>
          <w:p w:rsidR="00B00EBD" w:rsidRDefault="00B00EBD">
            <w:pPr>
              <w:pStyle w:val="TableText"/>
            </w:pPr>
          </w:p>
        </w:tc>
        <w:tc>
          <w:tcPr>
            <w:tcW w:w="7146" w:type="dxa"/>
            <w:gridSpan w:val="5"/>
          </w:tcPr>
          <w:p w:rsidR="00B00EBD" w:rsidRPr="00B00EBD" w:rsidRDefault="00B00EBD" w:rsidP="00B00EBD">
            <w:pPr>
              <w:pStyle w:val="TableBlockOutdent"/>
              <w:rPr>
                <w:rtl/>
              </w:rPr>
            </w:pPr>
            <w:r>
              <w:rPr>
                <w:rtl/>
              </w:rPr>
              <w:t>"</w:t>
            </w:r>
            <w:r>
              <w:rPr>
                <w:rFonts w:hint="cs"/>
                <w:rtl/>
              </w:rPr>
              <w:t xml:space="preserve">חוק בתי משפט </w:t>
            </w:r>
            <w:proofErr w:type="spellStart"/>
            <w:r>
              <w:rPr>
                <w:rFonts w:hint="cs"/>
                <w:rtl/>
              </w:rPr>
              <w:t>לענינים</w:t>
            </w:r>
            <w:proofErr w:type="spellEnd"/>
            <w:r>
              <w:rPr>
                <w:rFonts w:hint="cs"/>
                <w:rtl/>
              </w:rPr>
              <w:t xml:space="preserve"> </w:t>
            </w:r>
            <w:proofErr w:type="spellStart"/>
            <w:r>
              <w:rPr>
                <w:rFonts w:hint="cs"/>
                <w:rtl/>
              </w:rPr>
              <w:t>מינהליים</w:t>
            </w:r>
            <w:proofErr w:type="spellEnd"/>
            <w:r>
              <w:rPr>
                <w:rFonts w:hint="cs"/>
                <w:rtl/>
              </w:rPr>
              <w:t xml:space="preserve">" </w:t>
            </w:r>
            <w:r>
              <w:rPr>
                <w:rtl/>
              </w:rPr>
              <w:t>–</w:t>
            </w:r>
            <w:r>
              <w:rPr>
                <w:rFonts w:hint="cs"/>
                <w:rtl/>
              </w:rPr>
              <w:t xml:space="preserve"> חוק בתי משפט </w:t>
            </w:r>
            <w:proofErr w:type="spellStart"/>
            <w:r>
              <w:rPr>
                <w:rFonts w:hint="cs"/>
                <w:rtl/>
              </w:rPr>
              <w:t>לענינים</w:t>
            </w:r>
            <w:proofErr w:type="spellEnd"/>
            <w:r>
              <w:rPr>
                <w:rFonts w:hint="cs"/>
                <w:rtl/>
              </w:rPr>
              <w:t xml:space="preserve"> </w:t>
            </w:r>
            <w:proofErr w:type="spellStart"/>
            <w:r>
              <w:rPr>
                <w:rFonts w:hint="cs"/>
                <w:rtl/>
              </w:rPr>
              <w:t>מינהליים</w:t>
            </w:r>
            <w:proofErr w:type="spellEnd"/>
            <w:r>
              <w:rPr>
                <w:rFonts w:hint="cs"/>
                <w:rtl/>
              </w:rPr>
              <w:t>, התש"ס-2000</w:t>
            </w:r>
            <w:r>
              <w:rPr>
                <w:rStyle w:val="a9"/>
                <w:rtl/>
              </w:rPr>
              <w:footnoteReference w:id="9"/>
            </w:r>
            <w:r>
              <w:rPr>
                <w:rFonts w:hint="cs"/>
                <w:rtl/>
              </w:rPr>
              <w:t>;</w:t>
            </w:r>
          </w:p>
        </w:tc>
      </w:tr>
      <w:tr w:rsidR="006D4373">
        <w:trPr>
          <w:cantSplit/>
          <w:trHeight w:val="60"/>
        </w:trPr>
        <w:tc>
          <w:tcPr>
            <w:tcW w:w="1871" w:type="dxa"/>
          </w:tcPr>
          <w:p w:rsidR="006D4373" w:rsidRDefault="006D4373">
            <w:pPr>
              <w:pStyle w:val="TableSideHeading"/>
            </w:pPr>
          </w:p>
        </w:tc>
        <w:tc>
          <w:tcPr>
            <w:tcW w:w="624" w:type="dxa"/>
          </w:tcPr>
          <w:p w:rsidR="006D4373" w:rsidRDefault="006D4373">
            <w:pPr>
              <w:pStyle w:val="TableText"/>
            </w:pPr>
          </w:p>
        </w:tc>
        <w:tc>
          <w:tcPr>
            <w:tcW w:w="7146" w:type="dxa"/>
            <w:gridSpan w:val="5"/>
          </w:tcPr>
          <w:p w:rsidR="006D4373" w:rsidRPr="006D4373" w:rsidRDefault="006D4373" w:rsidP="006D4373">
            <w:pPr>
              <w:pStyle w:val="TableBlockOutdent"/>
              <w:rPr>
                <w:rtl/>
              </w:rPr>
            </w:pPr>
            <w:r>
              <w:rPr>
                <w:rtl/>
              </w:rPr>
              <w:t>"</w:t>
            </w:r>
            <w:r w:rsidRPr="001E2017">
              <w:rPr>
                <w:rFonts w:hint="cs"/>
                <w:rtl/>
              </w:rPr>
              <w:t>חוק המרכז לגביית קנסות</w:t>
            </w:r>
            <w:r>
              <w:rPr>
                <w:rFonts w:hint="cs"/>
                <w:rtl/>
              </w:rPr>
              <w:t xml:space="preserve">" </w:t>
            </w:r>
            <w:r>
              <w:rPr>
                <w:rtl/>
              </w:rPr>
              <w:t>–</w:t>
            </w:r>
            <w:r>
              <w:rPr>
                <w:rFonts w:hint="cs"/>
                <w:rtl/>
              </w:rPr>
              <w:t xml:space="preserve"> חוק המרכז לגביית קנסות</w:t>
            </w:r>
            <w:r w:rsidRPr="001E2017">
              <w:rPr>
                <w:rFonts w:hint="cs"/>
                <w:rtl/>
              </w:rPr>
              <w:t xml:space="preserve"> אגרות והוצאות, התשנ"ה-1995</w:t>
            </w:r>
            <w:r>
              <w:rPr>
                <w:rStyle w:val="a9"/>
                <w:rtl/>
              </w:rPr>
              <w:footnoteReference w:id="10"/>
            </w:r>
            <w:r>
              <w:rPr>
                <w:rFonts w:hint="cs"/>
                <w:rtl/>
              </w:rPr>
              <w:t>;</w:t>
            </w:r>
          </w:p>
        </w:tc>
      </w:tr>
      <w:tr w:rsidR="00B00EBD">
        <w:trPr>
          <w:cantSplit/>
          <w:trHeight w:val="60"/>
        </w:trPr>
        <w:tc>
          <w:tcPr>
            <w:tcW w:w="1871" w:type="dxa"/>
          </w:tcPr>
          <w:p w:rsidR="00B00EBD" w:rsidRDefault="00B00EBD">
            <w:pPr>
              <w:pStyle w:val="TableSideHeading"/>
            </w:pPr>
          </w:p>
        </w:tc>
        <w:tc>
          <w:tcPr>
            <w:tcW w:w="624" w:type="dxa"/>
          </w:tcPr>
          <w:p w:rsidR="00B00EBD" w:rsidRDefault="00B00EBD">
            <w:pPr>
              <w:pStyle w:val="TableText"/>
            </w:pPr>
          </w:p>
        </w:tc>
        <w:tc>
          <w:tcPr>
            <w:tcW w:w="7146" w:type="dxa"/>
            <w:gridSpan w:val="5"/>
          </w:tcPr>
          <w:p w:rsidR="00B00EBD" w:rsidRPr="00B00EBD" w:rsidRDefault="00B00EBD" w:rsidP="00B00EBD">
            <w:pPr>
              <w:pStyle w:val="TableBlockOutdent"/>
              <w:rPr>
                <w:rtl/>
              </w:rPr>
            </w:pPr>
            <w:r>
              <w:rPr>
                <w:rtl/>
              </w:rPr>
              <w:t>"</w:t>
            </w:r>
            <w:r>
              <w:rPr>
                <w:rFonts w:hint="cs"/>
                <w:rtl/>
              </w:rPr>
              <w:t xml:space="preserve">חוק המרשם הפלילי" </w:t>
            </w:r>
            <w:r>
              <w:rPr>
                <w:rtl/>
              </w:rPr>
              <w:t>–</w:t>
            </w:r>
            <w:r>
              <w:rPr>
                <w:rFonts w:hint="cs"/>
                <w:rtl/>
              </w:rPr>
              <w:t xml:space="preserve"> </w:t>
            </w:r>
            <w:r w:rsidRPr="00B24132">
              <w:rPr>
                <w:rtl/>
              </w:rPr>
              <w:t xml:space="preserve">חוק </w:t>
            </w:r>
            <w:r w:rsidRPr="00B24132">
              <w:rPr>
                <w:rFonts w:hint="eastAsia"/>
                <w:rtl/>
              </w:rPr>
              <w:t>המרשם</w:t>
            </w:r>
            <w:r w:rsidRPr="00B24132">
              <w:rPr>
                <w:rtl/>
              </w:rPr>
              <w:t xml:space="preserve"> </w:t>
            </w:r>
            <w:r w:rsidRPr="00B24132">
              <w:rPr>
                <w:rFonts w:hint="eastAsia"/>
                <w:rtl/>
              </w:rPr>
              <w:t>הפלילי</w:t>
            </w:r>
            <w:r w:rsidRPr="00B24132">
              <w:rPr>
                <w:rtl/>
              </w:rPr>
              <w:t xml:space="preserve"> </w:t>
            </w:r>
            <w:r w:rsidRPr="00B24132">
              <w:rPr>
                <w:rFonts w:hint="eastAsia"/>
                <w:rtl/>
              </w:rPr>
              <w:t>ותקנת</w:t>
            </w:r>
            <w:r w:rsidRPr="00B24132">
              <w:rPr>
                <w:rtl/>
              </w:rPr>
              <w:t xml:space="preserve"> </w:t>
            </w:r>
            <w:r w:rsidRPr="00B24132">
              <w:rPr>
                <w:rFonts w:hint="eastAsia"/>
                <w:rtl/>
              </w:rPr>
              <w:t>השבים</w:t>
            </w:r>
            <w:r w:rsidRPr="00B24132">
              <w:rPr>
                <w:rtl/>
              </w:rPr>
              <w:t xml:space="preserve">, </w:t>
            </w:r>
            <w:r w:rsidRPr="00B24132">
              <w:rPr>
                <w:rFonts w:hint="eastAsia"/>
                <w:rtl/>
              </w:rPr>
              <w:t>התשמ</w:t>
            </w:r>
            <w:r w:rsidRPr="00B24132">
              <w:rPr>
                <w:rtl/>
              </w:rPr>
              <w:t>"</w:t>
            </w:r>
            <w:r w:rsidRPr="00B24132">
              <w:rPr>
                <w:rFonts w:hint="eastAsia"/>
                <w:rtl/>
              </w:rPr>
              <w:t>א</w:t>
            </w:r>
            <w:r w:rsidRPr="00B24132">
              <w:rPr>
                <w:rtl/>
              </w:rPr>
              <w:t>-1981</w:t>
            </w:r>
            <w:r w:rsidRPr="00D1529B">
              <w:rPr>
                <w:rStyle w:val="a9"/>
                <w:rtl/>
              </w:rPr>
              <w:footnoteReference w:id="11"/>
            </w:r>
            <w:r>
              <w:rPr>
                <w:rFonts w:hint="cs"/>
                <w:rtl/>
              </w:rPr>
              <w:t>;</w:t>
            </w:r>
          </w:p>
        </w:tc>
      </w:tr>
      <w:tr w:rsidR="00485CC2">
        <w:trPr>
          <w:cantSplit/>
          <w:trHeight w:val="60"/>
        </w:trPr>
        <w:tc>
          <w:tcPr>
            <w:tcW w:w="1871" w:type="dxa"/>
          </w:tcPr>
          <w:p w:rsidR="00485CC2" w:rsidRDefault="00485CC2">
            <w:pPr>
              <w:pStyle w:val="TableSideHeading"/>
            </w:pPr>
          </w:p>
        </w:tc>
        <w:tc>
          <w:tcPr>
            <w:tcW w:w="624" w:type="dxa"/>
          </w:tcPr>
          <w:p w:rsidR="00485CC2" w:rsidRDefault="00485CC2">
            <w:pPr>
              <w:pStyle w:val="TableText"/>
            </w:pPr>
          </w:p>
        </w:tc>
        <w:tc>
          <w:tcPr>
            <w:tcW w:w="7146" w:type="dxa"/>
            <w:gridSpan w:val="5"/>
          </w:tcPr>
          <w:p w:rsidR="00485CC2" w:rsidRPr="00C61F7F" w:rsidRDefault="00485CC2" w:rsidP="00980D6D">
            <w:pPr>
              <w:pStyle w:val="TableBlockOutdent"/>
              <w:rPr>
                <w:rtl/>
              </w:rPr>
            </w:pPr>
            <w:r>
              <w:rPr>
                <w:rtl/>
              </w:rPr>
              <w:t>"</w:t>
            </w:r>
            <w:r>
              <w:rPr>
                <w:rFonts w:hint="cs"/>
                <w:rtl/>
              </w:rPr>
              <w:t xml:space="preserve">חוק לייעול הפיקוח והאכיפה" </w:t>
            </w:r>
            <w:r>
              <w:rPr>
                <w:rtl/>
              </w:rPr>
              <w:t>–</w:t>
            </w:r>
            <w:r>
              <w:rPr>
                <w:rFonts w:hint="cs"/>
                <w:rtl/>
              </w:rPr>
              <w:t xml:space="preserve"> </w:t>
            </w:r>
            <w:r w:rsidRPr="00155AB1">
              <w:rPr>
                <w:rFonts w:hint="cs"/>
                <w:rtl/>
              </w:rPr>
              <w:t xml:space="preserve">חוק לייעול הפיקוח והאכיפה </w:t>
            </w:r>
            <w:r w:rsidRPr="006D6FAC">
              <w:rPr>
                <w:rFonts w:hint="cs"/>
                <w:rtl/>
              </w:rPr>
              <w:t>העירוניים ברשויות המקומיות (תעבורה), התשע"ו-2016</w:t>
            </w:r>
            <w:r>
              <w:rPr>
                <w:rStyle w:val="a9"/>
                <w:rtl/>
              </w:rPr>
              <w:footnoteReference w:id="12"/>
            </w:r>
            <w:r>
              <w:rPr>
                <w:rFonts w:hint="cs"/>
                <w:rtl/>
              </w:rPr>
              <w:t>;</w:t>
            </w:r>
          </w:p>
        </w:tc>
      </w:tr>
      <w:tr w:rsidR="00B00EBD">
        <w:trPr>
          <w:cantSplit/>
          <w:trHeight w:val="60"/>
        </w:trPr>
        <w:tc>
          <w:tcPr>
            <w:tcW w:w="1871" w:type="dxa"/>
          </w:tcPr>
          <w:p w:rsidR="00B00EBD" w:rsidRDefault="00B00EBD">
            <w:pPr>
              <w:pStyle w:val="TableSideHeading"/>
            </w:pPr>
          </w:p>
        </w:tc>
        <w:tc>
          <w:tcPr>
            <w:tcW w:w="624" w:type="dxa"/>
          </w:tcPr>
          <w:p w:rsidR="00B00EBD" w:rsidRDefault="00B00EBD">
            <w:pPr>
              <w:pStyle w:val="TableText"/>
            </w:pPr>
          </w:p>
        </w:tc>
        <w:tc>
          <w:tcPr>
            <w:tcW w:w="7146" w:type="dxa"/>
            <w:gridSpan w:val="5"/>
          </w:tcPr>
          <w:p w:rsidR="00B00EBD" w:rsidRPr="00B00EBD" w:rsidRDefault="00B00EBD" w:rsidP="00B00EBD">
            <w:pPr>
              <w:pStyle w:val="TableBlockOutdent"/>
              <w:rPr>
                <w:rtl/>
              </w:rPr>
            </w:pPr>
            <w:r>
              <w:rPr>
                <w:rtl/>
              </w:rPr>
              <w:t>"</w:t>
            </w:r>
            <w:r w:rsidRPr="0015169F">
              <w:rPr>
                <w:rFonts w:hint="cs"/>
                <w:rtl/>
              </w:rPr>
              <w:t xml:space="preserve">חוק סדר הדין הפלילי" </w:t>
            </w:r>
            <w:r w:rsidRPr="0015169F">
              <w:rPr>
                <w:rtl/>
              </w:rPr>
              <w:t>–</w:t>
            </w:r>
            <w:r w:rsidRPr="0015169F">
              <w:rPr>
                <w:rFonts w:hint="cs"/>
                <w:rtl/>
              </w:rPr>
              <w:t xml:space="preserve"> חוק סדר הדין הפלילי [נוסח משולב], התשמ"ב-1982</w:t>
            </w:r>
            <w:r w:rsidRPr="0015169F">
              <w:rPr>
                <w:rStyle w:val="a9"/>
                <w:rtl/>
              </w:rPr>
              <w:footnoteReference w:id="13"/>
            </w:r>
            <w:r w:rsidRPr="0015169F">
              <w:rPr>
                <w:rFonts w:hint="cs"/>
                <w:rtl/>
              </w:rPr>
              <w:t>;</w:t>
            </w:r>
          </w:p>
        </w:tc>
      </w:tr>
      <w:tr w:rsidR="00B00EBD">
        <w:trPr>
          <w:cantSplit/>
          <w:trHeight w:val="60"/>
        </w:trPr>
        <w:tc>
          <w:tcPr>
            <w:tcW w:w="1871" w:type="dxa"/>
          </w:tcPr>
          <w:p w:rsidR="00B00EBD" w:rsidRDefault="00B00EBD">
            <w:pPr>
              <w:pStyle w:val="TableSideHeading"/>
            </w:pPr>
          </w:p>
        </w:tc>
        <w:tc>
          <w:tcPr>
            <w:tcW w:w="624" w:type="dxa"/>
          </w:tcPr>
          <w:p w:rsidR="00B00EBD" w:rsidRDefault="00B00EBD">
            <w:pPr>
              <w:pStyle w:val="TableText"/>
            </w:pPr>
          </w:p>
        </w:tc>
        <w:tc>
          <w:tcPr>
            <w:tcW w:w="7146" w:type="dxa"/>
            <w:gridSpan w:val="5"/>
          </w:tcPr>
          <w:p w:rsidR="00B00EBD" w:rsidRPr="00B00EBD" w:rsidRDefault="00B00EBD" w:rsidP="00B00EBD">
            <w:pPr>
              <w:pStyle w:val="TableBlockOutdent"/>
              <w:rPr>
                <w:rtl/>
              </w:rPr>
            </w:pPr>
            <w:r>
              <w:rPr>
                <w:rtl/>
              </w:rPr>
              <w:t>"</w:t>
            </w:r>
            <w:r>
              <w:rPr>
                <w:rFonts w:hint="cs"/>
                <w:rtl/>
              </w:rPr>
              <w:t xml:space="preserve">חוק שוויון זכויות לאנשים עם מוגבלות" </w:t>
            </w:r>
            <w:r>
              <w:rPr>
                <w:rtl/>
              </w:rPr>
              <w:t>–</w:t>
            </w:r>
            <w:r>
              <w:rPr>
                <w:rFonts w:hint="cs"/>
                <w:rtl/>
              </w:rPr>
              <w:t xml:space="preserve"> חוק שוויון זכויות לאנשים עם מוגבלות, התשנ"ח-1998</w:t>
            </w:r>
            <w:r>
              <w:rPr>
                <w:rStyle w:val="a9"/>
                <w:rtl/>
              </w:rPr>
              <w:footnoteReference w:id="14"/>
            </w:r>
            <w:r>
              <w:rPr>
                <w:rFonts w:hint="cs"/>
                <w:rtl/>
              </w:rPr>
              <w:t>;</w:t>
            </w:r>
          </w:p>
        </w:tc>
      </w:tr>
      <w:tr w:rsidR="00B00EBD">
        <w:trPr>
          <w:cantSplit/>
          <w:trHeight w:val="60"/>
        </w:trPr>
        <w:tc>
          <w:tcPr>
            <w:tcW w:w="1871" w:type="dxa"/>
          </w:tcPr>
          <w:p w:rsidR="00B00EBD" w:rsidRDefault="00B00EBD">
            <w:pPr>
              <w:pStyle w:val="TableSideHeading"/>
            </w:pPr>
          </w:p>
        </w:tc>
        <w:tc>
          <w:tcPr>
            <w:tcW w:w="624" w:type="dxa"/>
          </w:tcPr>
          <w:p w:rsidR="00B00EBD" w:rsidRDefault="00B00EBD">
            <w:pPr>
              <w:pStyle w:val="TableText"/>
            </w:pPr>
          </w:p>
        </w:tc>
        <w:tc>
          <w:tcPr>
            <w:tcW w:w="7146" w:type="dxa"/>
            <w:gridSpan w:val="5"/>
          </w:tcPr>
          <w:p w:rsidR="00B00EBD" w:rsidRPr="00B00EBD" w:rsidRDefault="00B00EBD" w:rsidP="009A7295">
            <w:pPr>
              <w:pStyle w:val="TableBlockOutdent"/>
              <w:rPr>
                <w:rtl/>
              </w:rPr>
            </w:pPr>
            <w:r>
              <w:rPr>
                <w:rtl/>
              </w:rPr>
              <w:t>"</w:t>
            </w:r>
            <w:r>
              <w:rPr>
                <w:rFonts w:hint="cs"/>
                <w:rtl/>
              </w:rPr>
              <w:t xml:space="preserve">יום ההמצאה" </w:t>
            </w:r>
            <w:r>
              <w:rPr>
                <w:rtl/>
              </w:rPr>
              <w:t>–</w:t>
            </w:r>
            <w:r>
              <w:rPr>
                <w:rFonts w:hint="cs"/>
                <w:rtl/>
              </w:rPr>
              <w:t xml:space="preserve"> </w:t>
            </w:r>
            <w:r w:rsidRPr="0054524B">
              <w:rPr>
                <w:rFonts w:hint="eastAsia"/>
                <w:rtl/>
              </w:rPr>
              <w:t>יום</w:t>
            </w:r>
            <w:r w:rsidRPr="0054524B">
              <w:rPr>
                <w:rtl/>
              </w:rPr>
              <w:t xml:space="preserve"> </w:t>
            </w:r>
            <w:r>
              <w:rPr>
                <w:rFonts w:hint="cs"/>
                <w:rtl/>
              </w:rPr>
              <w:t xml:space="preserve">מסירת הודעת תשלום </w:t>
            </w:r>
            <w:r w:rsidR="009A7295">
              <w:rPr>
                <w:rFonts w:hint="cs"/>
                <w:rtl/>
              </w:rPr>
              <w:t>קנס הפרה</w:t>
            </w:r>
            <w:r>
              <w:rPr>
                <w:rFonts w:ascii="David" w:hAnsi="David" w:hint="cs"/>
                <w:color w:val="000000"/>
                <w:sz w:val="26"/>
                <w:rtl/>
              </w:rPr>
              <w:t>, כמפורט בסעיף 4</w:t>
            </w:r>
            <w:r>
              <w:rPr>
                <w:rFonts w:hint="cs"/>
                <w:rtl/>
              </w:rPr>
              <w:t>;</w:t>
            </w:r>
          </w:p>
        </w:tc>
      </w:tr>
      <w:tr w:rsidR="00B00EBD">
        <w:trPr>
          <w:cantSplit/>
          <w:trHeight w:val="60"/>
        </w:trPr>
        <w:tc>
          <w:tcPr>
            <w:tcW w:w="1871" w:type="dxa"/>
          </w:tcPr>
          <w:p w:rsidR="00B00EBD" w:rsidRDefault="00B00EBD">
            <w:pPr>
              <w:pStyle w:val="TableSideHeading"/>
            </w:pPr>
          </w:p>
        </w:tc>
        <w:tc>
          <w:tcPr>
            <w:tcW w:w="624" w:type="dxa"/>
          </w:tcPr>
          <w:p w:rsidR="00B00EBD" w:rsidRDefault="00B00EBD">
            <w:pPr>
              <w:pStyle w:val="TableText"/>
            </w:pPr>
          </w:p>
        </w:tc>
        <w:tc>
          <w:tcPr>
            <w:tcW w:w="7146" w:type="dxa"/>
            <w:gridSpan w:val="5"/>
          </w:tcPr>
          <w:p w:rsidR="00B00EBD" w:rsidRPr="00FE1884" w:rsidRDefault="00B00EBD" w:rsidP="00B00EBD">
            <w:pPr>
              <w:pStyle w:val="TableBlockOutdent"/>
              <w:rPr>
                <w:rtl/>
              </w:rPr>
            </w:pPr>
            <w:r w:rsidRPr="00FE1884">
              <w:rPr>
                <w:rtl/>
              </w:rPr>
              <w:t>"</w:t>
            </w:r>
            <w:r w:rsidRPr="00FE1884">
              <w:rPr>
                <w:rFonts w:hint="cs"/>
                <w:rtl/>
              </w:rPr>
              <w:t xml:space="preserve">מרשם התעבורה </w:t>
            </w:r>
            <w:proofErr w:type="spellStart"/>
            <w:r w:rsidRPr="00FE1884">
              <w:rPr>
                <w:rFonts w:hint="cs"/>
                <w:rtl/>
              </w:rPr>
              <w:t>המינהלי</w:t>
            </w:r>
            <w:proofErr w:type="spellEnd"/>
            <w:r w:rsidRPr="00FE1884">
              <w:rPr>
                <w:rFonts w:hint="cs"/>
                <w:rtl/>
              </w:rPr>
              <w:t xml:space="preserve">" </w:t>
            </w:r>
            <w:r w:rsidRPr="00FE1884">
              <w:rPr>
                <w:rtl/>
              </w:rPr>
              <w:t>–</w:t>
            </w:r>
            <w:r w:rsidRPr="00FE1884">
              <w:rPr>
                <w:rFonts w:hint="cs"/>
                <w:rtl/>
              </w:rPr>
              <w:t xml:space="preserve"> כמשמעו </w:t>
            </w:r>
            <w:r w:rsidRPr="00FE1884">
              <w:rPr>
                <w:rFonts w:hint="eastAsia"/>
                <w:rtl/>
              </w:rPr>
              <w:t>בסעיף</w:t>
            </w:r>
            <w:r w:rsidRPr="00FE1884">
              <w:rPr>
                <w:rtl/>
              </w:rPr>
              <w:t xml:space="preserve"> </w:t>
            </w:r>
            <w:r w:rsidRPr="00FE1884">
              <w:rPr>
                <w:rFonts w:hint="cs"/>
                <w:rtl/>
              </w:rPr>
              <w:t>28;</w:t>
            </w:r>
          </w:p>
        </w:tc>
      </w:tr>
      <w:tr w:rsidR="00B00EBD">
        <w:trPr>
          <w:cantSplit/>
          <w:trHeight w:val="60"/>
        </w:trPr>
        <w:tc>
          <w:tcPr>
            <w:tcW w:w="1871" w:type="dxa"/>
          </w:tcPr>
          <w:p w:rsidR="00B00EBD" w:rsidRDefault="00B00EBD">
            <w:pPr>
              <w:pStyle w:val="TableSideHeading"/>
            </w:pPr>
          </w:p>
        </w:tc>
        <w:tc>
          <w:tcPr>
            <w:tcW w:w="624" w:type="dxa"/>
          </w:tcPr>
          <w:p w:rsidR="00B00EBD" w:rsidRDefault="00B00EBD">
            <w:pPr>
              <w:pStyle w:val="TableText"/>
            </w:pPr>
          </w:p>
        </w:tc>
        <w:tc>
          <w:tcPr>
            <w:tcW w:w="7146" w:type="dxa"/>
            <w:gridSpan w:val="5"/>
          </w:tcPr>
          <w:p w:rsidR="00B00EBD" w:rsidRPr="00FE1884" w:rsidRDefault="00B00EBD" w:rsidP="00B00EBD">
            <w:pPr>
              <w:pStyle w:val="TableBlockOutdent"/>
              <w:rPr>
                <w:rtl/>
              </w:rPr>
            </w:pPr>
            <w:r w:rsidRPr="00FE1884">
              <w:rPr>
                <w:rtl/>
              </w:rPr>
              <w:t>"</w:t>
            </w:r>
            <w:r w:rsidRPr="00FE1884">
              <w:rPr>
                <w:rFonts w:hint="cs"/>
                <w:rtl/>
              </w:rPr>
              <w:t xml:space="preserve">ערר" </w:t>
            </w:r>
            <w:r w:rsidRPr="00FE1884">
              <w:rPr>
                <w:rtl/>
              </w:rPr>
              <w:t>–</w:t>
            </w:r>
            <w:r w:rsidRPr="00FE1884">
              <w:rPr>
                <w:rFonts w:hint="cs"/>
                <w:rtl/>
              </w:rPr>
              <w:t xml:space="preserve"> כמשמעו </w:t>
            </w:r>
            <w:r w:rsidRPr="00FE1884">
              <w:rPr>
                <w:rFonts w:hint="eastAsia"/>
                <w:rtl/>
              </w:rPr>
              <w:t>בסעיף</w:t>
            </w:r>
            <w:r w:rsidRPr="00FE1884">
              <w:rPr>
                <w:rFonts w:hint="cs"/>
                <w:rtl/>
              </w:rPr>
              <w:t xml:space="preserve"> 19;</w:t>
            </w:r>
          </w:p>
        </w:tc>
      </w:tr>
      <w:tr w:rsidR="00B00EBD">
        <w:trPr>
          <w:cantSplit/>
          <w:trHeight w:val="60"/>
        </w:trPr>
        <w:tc>
          <w:tcPr>
            <w:tcW w:w="1871" w:type="dxa"/>
          </w:tcPr>
          <w:p w:rsidR="00B00EBD" w:rsidRDefault="00B00EBD">
            <w:pPr>
              <w:pStyle w:val="TableSideHeading"/>
            </w:pPr>
          </w:p>
        </w:tc>
        <w:tc>
          <w:tcPr>
            <w:tcW w:w="624" w:type="dxa"/>
          </w:tcPr>
          <w:p w:rsidR="00B00EBD" w:rsidRDefault="00B00EBD">
            <w:pPr>
              <w:pStyle w:val="TableText"/>
            </w:pPr>
          </w:p>
        </w:tc>
        <w:tc>
          <w:tcPr>
            <w:tcW w:w="7146" w:type="dxa"/>
            <w:gridSpan w:val="5"/>
          </w:tcPr>
          <w:p w:rsidR="00B00EBD" w:rsidRPr="00B00EBD" w:rsidRDefault="00B00EBD" w:rsidP="00B00EBD">
            <w:pPr>
              <w:pStyle w:val="TableBlockOutdent"/>
              <w:rPr>
                <w:rtl/>
              </w:rPr>
            </w:pPr>
            <w:r>
              <w:rPr>
                <w:rtl/>
              </w:rPr>
              <w:t>"</w:t>
            </w:r>
            <w:r>
              <w:rPr>
                <w:rFonts w:hint="cs"/>
                <w:rtl/>
              </w:rPr>
              <w:t xml:space="preserve">פקודת התעבורה" </w:t>
            </w:r>
            <w:r>
              <w:rPr>
                <w:rtl/>
              </w:rPr>
              <w:t>–</w:t>
            </w:r>
            <w:r>
              <w:rPr>
                <w:rFonts w:hint="cs"/>
                <w:rtl/>
              </w:rPr>
              <w:t xml:space="preserve"> פקודת התעבורה [נוסח חדש]</w:t>
            </w:r>
            <w:r>
              <w:rPr>
                <w:rStyle w:val="a9"/>
                <w:rtl/>
              </w:rPr>
              <w:footnoteReference w:id="15"/>
            </w:r>
            <w:r>
              <w:rPr>
                <w:rFonts w:hint="cs"/>
                <w:rtl/>
              </w:rPr>
              <w:t>;</w:t>
            </w:r>
          </w:p>
        </w:tc>
      </w:tr>
      <w:tr w:rsidR="00B00EBD">
        <w:trPr>
          <w:cantSplit/>
          <w:trHeight w:val="60"/>
        </w:trPr>
        <w:tc>
          <w:tcPr>
            <w:tcW w:w="1871" w:type="dxa"/>
          </w:tcPr>
          <w:p w:rsidR="00B00EBD" w:rsidRDefault="00B00EBD">
            <w:pPr>
              <w:pStyle w:val="TableSideHeading"/>
            </w:pPr>
          </w:p>
        </w:tc>
        <w:tc>
          <w:tcPr>
            <w:tcW w:w="624" w:type="dxa"/>
          </w:tcPr>
          <w:p w:rsidR="00B00EBD" w:rsidRDefault="00B00EBD">
            <w:pPr>
              <w:pStyle w:val="TableText"/>
            </w:pPr>
          </w:p>
        </w:tc>
        <w:tc>
          <w:tcPr>
            <w:tcW w:w="7146" w:type="dxa"/>
            <w:gridSpan w:val="5"/>
          </w:tcPr>
          <w:p w:rsidR="00B00EBD" w:rsidRPr="00B00EBD" w:rsidRDefault="00B00EBD" w:rsidP="009A7295">
            <w:pPr>
              <w:pStyle w:val="TableBlockOutdent"/>
              <w:rPr>
                <w:rtl/>
              </w:rPr>
            </w:pPr>
            <w:r>
              <w:rPr>
                <w:rtl/>
              </w:rPr>
              <w:t>"</w:t>
            </w:r>
            <w:r>
              <w:rPr>
                <w:rFonts w:hint="cs"/>
                <w:rtl/>
              </w:rPr>
              <w:t xml:space="preserve">קנס </w:t>
            </w:r>
            <w:r w:rsidR="009A7295">
              <w:rPr>
                <w:rFonts w:hint="cs"/>
                <w:rtl/>
              </w:rPr>
              <w:t>הפרה</w:t>
            </w:r>
            <w:r>
              <w:rPr>
                <w:rFonts w:hint="cs"/>
                <w:rtl/>
              </w:rPr>
              <w:t xml:space="preserve">" </w:t>
            </w:r>
            <w:r>
              <w:rPr>
                <w:rtl/>
              </w:rPr>
              <w:t>–</w:t>
            </w:r>
            <w:r>
              <w:rPr>
                <w:rFonts w:hint="cs"/>
                <w:rtl/>
              </w:rPr>
              <w:t xml:space="preserve"> קנס </w:t>
            </w:r>
            <w:r w:rsidR="009A7295">
              <w:rPr>
                <w:rFonts w:hint="cs"/>
                <w:rtl/>
              </w:rPr>
              <w:t xml:space="preserve">הניתן בגין ביצוע הפרת תעבורה, </w:t>
            </w:r>
            <w:r>
              <w:rPr>
                <w:rFonts w:hint="cs"/>
                <w:rtl/>
              </w:rPr>
              <w:t xml:space="preserve">שניתן להטילו בדרך </w:t>
            </w:r>
            <w:proofErr w:type="spellStart"/>
            <w:r>
              <w:rPr>
                <w:rFonts w:hint="cs"/>
                <w:rtl/>
              </w:rPr>
              <w:t>מינהלית</w:t>
            </w:r>
            <w:proofErr w:type="spellEnd"/>
            <w:r w:rsidR="009A7295">
              <w:rPr>
                <w:rFonts w:hint="cs"/>
                <w:rtl/>
              </w:rPr>
              <w:t xml:space="preserve"> על בסיס החלטה </w:t>
            </w:r>
            <w:proofErr w:type="spellStart"/>
            <w:r w:rsidR="009A7295">
              <w:rPr>
                <w:rFonts w:hint="cs"/>
                <w:rtl/>
              </w:rPr>
              <w:t>מינהלית</w:t>
            </w:r>
            <w:proofErr w:type="spellEnd"/>
            <w:r>
              <w:rPr>
                <w:rFonts w:hint="cs"/>
                <w:rtl/>
              </w:rPr>
              <w:t>;</w:t>
            </w:r>
          </w:p>
        </w:tc>
      </w:tr>
      <w:tr w:rsidR="00B00EBD">
        <w:trPr>
          <w:cantSplit/>
          <w:trHeight w:val="60"/>
        </w:trPr>
        <w:tc>
          <w:tcPr>
            <w:tcW w:w="1871" w:type="dxa"/>
          </w:tcPr>
          <w:p w:rsidR="00B00EBD" w:rsidRDefault="00B00EBD">
            <w:pPr>
              <w:pStyle w:val="TableSideHeading"/>
            </w:pPr>
          </w:p>
        </w:tc>
        <w:tc>
          <w:tcPr>
            <w:tcW w:w="624" w:type="dxa"/>
          </w:tcPr>
          <w:p w:rsidR="00B00EBD" w:rsidRDefault="00B00EBD">
            <w:pPr>
              <w:pStyle w:val="TableText"/>
            </w:pPr>
          </w:p>
        </w:tc>
        <w:tc>
          <w:tcPr>
            <w:tcW w:w="7146" w:type="dxa"/>
            <w:gridSpan w:val="5"/>
          </w:tcPr>
          <w:p w:rsidR="00B00EBD" w:rsidRPr="00B00EBD" w:rsidRDefault="00B00EBD" w:rsidP="00B00EBD">
            <w:pPr>
              <w:pStyle w:val="TableBlockOutdent"/>
              <w:rPr>
                <w:rtl/>
              </w:rPr>
            </w:pPr>
            <w:r>
              <w:rPr>
                <w:rtl/>
              </w:rPr>
              <w:t>"</w:t>
            </w:r>
            <w:r>
              <w:rPr>
                <w:rFonts w:hint="cs"/>
                <w:rtl/>
              </w:rPr>
              <w:t xml:space="preserve">תובע" </w:t>
            </w:r>
            <w:r w:rsidRPr="00A35B0E">
              <w:rPr>
                <w:rtl/>
              </w:rPr>
              <w:t xml:space="preserve">– </w:t>
            </w:r>
            <w:r>
              <w:rPr>
                <w:rFonts w:hint="cs"/>
                <w:rtl/>
              </w:rPr>
              <w:t>כהגדרתו בסעיף 12 לחוק סדר הדין הפלילי.</w:t>
            </w:r>
          </w:p>
        </w:tc>
      </w:tr>
      <w:tr w:rsidR="00B00EBD">
        <w:trPr>
          <w:cantSplit/>
          <w:trHeight w:val="60"/>
        </w:trPr>
        <w:tc>
          <w:tcPr>
            <w:tcW w:w="1871" w:type="dxa"/>
          </w:tcPr>
          <w:p w:rsidR="00B00EBD" w:rsidRDefault="00B00EBD">
            <w:pPr>
              <w:pStyle w:val="TableSideHeading"/>
            </w:pPr>
          </w:p>
        </w:tc>
        <w:tc>
          <w:tcPr>
            <w:tcW w:w="624" w:type="dxa"/>
          </w:tcPr>
          <w:p w:rsidR="00B00EBD" w:rsidRDefault="00B00EBD">
            <w:pPr>
              <w:pStyle w:val="TableText"/>
            </w:pPr>
          </w:p>
        </w:tc>
        <w:tc>
          <w:tcPr>
            <w:tcW w:w="7146" w:type="dxa"/>
            <w:gridSpan w:val="5"/>
          </w:tcPr>
          <w:p w:rsidR="00B00EBD" w:rsidRPr="00B00EBD" w:rsidRDefault="00B00EBD">
            <w:pPr>
              <w:pStyle w:val="TableHead"/>
            </w:pPr>
            <w:bookmarkStart w:id="12" w:name="_Toc74773757"/>
            <w:bookmarkStart w:id="13" w:name="_Toc75433128"/>
            <w:r w:rsidRPr="009C2685">
              <w:rPr>
                <w:rFonts w:hint="cs"/>
                <w:rtl/>
              </w:rPr>
              <w:t xml:space="preserve">פרק א': הפרת תעבורה </w:t>
            </w:r>
            <w:proofErr w:type="spellStart"/>
            <w:r w:rsidRPr="00390F6D">
              <w:rPr>
                <w:rFonts w:hint="cs"/>
                <w:rtl/>
              </w:rPr>
              <w:t>מינהלית</w:t>
            </w:r>
            <w:bookmarkEnd w:id="12"/>
            <w:bookmarkEnd w:id="13"/>
            <w:proofErr w:type="spellEnd"/>
          </w:p>
        </w:tc>
      </w:tr>
      <w:tr w:rsidR="00B00EBD">
        <w:trPr>
          <w:cantSplit/>
          <w:trHeight w:val="60"/>
        </w:trPr>
        <w:tc>
          <w:tcPr>
            <w:tcW w:w="1871" w:type="dxa"/>
          </w:tcPr>
          <w:p w:rsidR="00B00EBD" w:rsidRPr="00B00EBD" w:rsidRDefault="00B00EBD" w:rsidP="00B00EBD">
            <w:pPr>
              <w:pStyle w:val="TableSideHeading"/>
              <w:outlineLvl w:val="9"/>
            </w:pPr>
            <w:bookmarkStart w:id="14" w:name="_Toc75433129"/>
            <w:r w:rsidRPr="00B00EBD">
              <w:rPr>
                <w:rFonts w:hint="cs"/>
                <w:rtl/>
              </w:rPr>
              <w:t>הפרת תעבורה</w:t>
            </w:r>
            <w:bookmarkEnd w:id="14"/>
          </w:p>
        </w:tc>
        <w:tc>
          <w:tcPr>
            <w:tcW w:w="624" w:type="dxa"/>
          </w:tcPr>
          <w:p w:rsidR="00B00EBD" w:rsidRDefault="00B00EBD" w:rsidP="00AB3999">
            <w:pPr>
              <w:pStyle w:val="TableText"/>
              <w:keepLines w:val="0"/>
              <w:numPr>
                <w:ilvl w:val="0"/>
                <w:numId w:val="3"/>
              </w:numPr>
            </w:pPr>
          </w:p>
        </w:tc>
        <w:tc>
          <w:tcPr>
            <w:tcW w:w="7146" w:type="dxa"/>
            <w:gridSpan w:val="5"/>
          </w:tcPr>
          <w:p w:rsidR="00B00EBD" w:rsidRPr="00C34DE2" w:rsidRDefault="00B00EBD" w:rsidP="00081A80">
            <w:pPr>
              <w:pStyle w:val="TableBlock"/>
              <w:numPr>
                <w:ilvl w:val="0"/>
                <w:numId w:val="6"/>
              </w:numPr>
              <w:tabs>
                <w:tab w:val="left" w:pos="624"/>
              </w:tabs>
            </w:pPr>
            <w:r w:rsidRPr="0090145C">
              <w:rPr>
                <w:rFonts w:hint="cs"/>
                <w:rtl/>
              </w:rPr>
              <w:t>היה לגורם אכיפה יסוד סביר להניח כי אדם ביצע הפרת תעבורה, רשאי הוא לקבוע</w:t>
            </w:r>
            <w:r w:rsidRPr="0026751C">
              <w:rPr>
                <w:rFonts w:hint="cs"/>
                <w:rtl/>
              </w:rPr>
              <w:t xml:space="preserve"> </w:t>
            </w:r>
            <w:r w:rsidRPr="0090145C">
              <w:rPr>
                <w:rFonts w:hint="cs"/>
                <w:rtl/>
              </w:rPr>
              <w:t>כי בוצעה הפרת תעבורה</w:t>
            </w:r>
            <w:r w:rsidRPr="0026751C">
              <w:rPr>
                <w:rFonts w:hint="cs"/>
                <w:rtl/>
              </w:rPr>
              <w:t xml:space="preserve">, ולהורות </w:t>
            </w:r>
            <w:r w:rsidRPr="0090145C">
              <w:rPr>
                <w:rFonts w:hint="eastAsia"/>
                <w:rtl/>
              </w:rPr>
              <w:t>על</w:t>
            </w:r>
            <w:r w:rsidRPr="0090145C">
              <w:rPr>
                <w:rtl/>
              </w:rPr>
              <w:t xml:space="preserve"> תשלום קנס </w:t>
            </w:r>
            <w:r w:rsidR="009A7295">
              <w:rPr>
                <w:rFonts w:hint="cs"/>
                <w:rtl/>
              </w:rPr>
              <w:t>הפרה</w:t>
            </w:r>
            <w:r w:rsidR="009A7295" w:rsidRPr="0090145C">
              <w:rPr>
                <w:rtl/>
              </w:rPr>
              <w:t xml:space="preserve"> </w:t>
            </w:r>
            <w:r w:rsidRPr="0090145C">
              <w:rPr>
                <w:rtl/>
              </w:rPr>
              <w:t xml:space="preserve">בסכום התואם את דרגת הקנס שנקבעה לצד אותה הפרה </w:t>
            </w:r>
            <w:r w:rsidRPr="0090145C">
              <w:rPr>
                <w:rFonts w:hint="eastAsia"/>
                <w:rtl/>
              </w:rPr>
              <w:t>בתוספת</w:t>
            </w:r>
            <w:r w:rsidRPr="0090145C">
              <w:rPr>
                <w:rtl/>
              </w:rPr>
              <w:t xml:space="preserve"> </w:t>
            </w:r>
            <w:r>
              <w:rPr>
                <w:rFonts w:hint="cs"/>
                <w:rtl/>
              </w:rPr>
              <w:t>השנייה</w:t>
            </w:r>
            <w:r w:rsidRPr="0090145C">
              <w:rPr>
                <w:rtl/>
              </w:rPr>
              <w:t xml:space="preserve"> </w:t>
            </w:r>
            <w:r w:rsidR="00FF5702" w:rsidRPr="0090145C">
              <w:rPr>
                <w:rFonts w:hint="cs"/>
                <w:rtl/>
              </w:rPr>
              <w:t>(</w:t>
            </w:r>
            <w:r w:rsidR="00FF5702" w:rsidRPr="0090145C">
              <w:rPr>
                <w:rFonts w:hint="eastAsia"/>
                <w:rtl/>
              </w:rPr>
              <w:t>בחוק</w:t>
            </w:r>
            <w:r w:rsidR="00FF5702" w:rsidRPr="0090145C">
              <w:rPr>
                <w:rtl/>
              </w:rPr>
              <w:t xml:space="preserve"> </w:t>
            </w:r>
            <w:r w:rsidR="00FF5702" w:rsidRPr="0090145C">
              <w:rPr>
                <w:rFonts w:hint="eastAsia"/>
                <w:rtl/>
              </w:rPr>
              <w:t>זה</w:t>
            </w:r>
            <w:r w:rsidR="00FF5702" w:rsidRPr="0026751C">
              <w:rPr>
                <w:rFonts w:hint="cs"/>
                <w:rtl/>
              </w:rPr>
              <w:t xml:space="preserve"> </w:t>
            </w:r>
            <w:r w:rsidR="00FF5702" w:rsidRPr="0026751C">
              <w:rPr>
                <w:rtl/>
              </w:rPr>
              <w:t>–</w:t>
            </w:r>
            <w:r w:rsidR="00FF5702" w:rsidRPr="0026751C">
              <w:rPr>
                <w:rFonts w:hint="cs"/>
                <w:rtl/>
              </w:rPr>
              <w:t xml:space="preserve"> ההחלטה)</w:t>
            </w:r>
            <w:r w:rsidRPr="0090145C">
              <w:rPr>
                <w:rFonts w:hint="cs"/>
                <w:rtl/>
              </w:rPr>
              <w:t xml:space="preserve">; "דרגת הקנס" </w:t>
            </w:r>
            <w:r w:rsidRPr="0090145C">
              <w:rPr>
                <w:rtl/>
              </w:rPr>
              <w:t>–</w:t>
            </w:r>
            <w:r w:rsidRPr="0090145C">
              <w:rPr>
                <w:rFonts w:hint="cs"/>
                <w:rtl/>
              </w:rPr>
              <w:t xml:space="preserve"> כמפורט בתוספת </w:t>
            </w:r>
            <w:r>
              <w:rPr>
                <w:rFonts w:hint="cs"/>
                <w:rtl/>
              </w:rPr>
              <w:t>הראשונה</w:t>
            </w:r>
            <w:r w:rsidRPr="0090145C">
              <w:rPr>
                <w:rFonts w:hint="cs"/>
                <w:rtl/>
              </w:rPr>
              <w:t>.</w:t>
            </w:r>
          </w:p>
        </w:tc>
      </w:tr>
      <w:tr w:rsidR="00B00EBD">
        <w:trPr>
          <w:cantSplit/>
          <w:trHeight w:val="60"/>
        </w:trPr>
        <w:tc>
          <w:tcPr>
            <w:tcW w:w="1871" w:type="dxa"/>
          </w:tcPr>
          <w:p w:rsidR="00B00EBD" w:rsidRDefault="00B00EBD" w:rsidP="000A70C2">
            <w:pPr>
              <w:pStyle w:val="TableSideHeading"/>
              <w:keepLines w:val="0"/>
              <w:rPr>
                <w:rtl/>
              </w:rPr>
            </w:pPr>
          </w:p>
        </w:tc>
        <w:tc>
          <w:tcPr>
            <w:tcW w:w="624" w:type="dxa"/>
          </w:tcPr>
          <w:p w:rsidR="00B00EBD" w:rsidRDefault="00B00EBD" w:rsidP="00B00EBD">
            <w:pPr>
              <w:pStyle w:val="TableText"/>
            </w:pPr>
          </w:p>
        </w:tc>
        <w:tc>
          <w:tcPr>
            <w:tcW w:w="7146" w:type="dxa"/>
            <w:gridSpan w:val="5"/>
          </w:tcPr>
          <w:p w:rsidR="00B00EBD" w:rsidRPr="0090145C" w:rsidRDefault="00B00EBD" w:rsidP="009A7295">
            <w:pPr>
              <w:pStyle w:val="TableBlock"/>
              <w:numPr>
                <w:ilvl w:val="0"/>
                <w:numId w:val="6"/>
              </w:numPr>
              <w:tabs>
                <w:tab w:val="left" w:pos="624"/>
              </w:tabs>
              <w:rPr>
                <w:rtl/>
              </w:rPr>
            </w:pPr>
            <w:r w:rsidRPr="003B1F55">
              <w:rPr>
                <w:rtl/>
              </w:rPr>
              <w:t>שר ה</w:t>
            </w:r>
            <w:r w:rsidRPr="003B1F55">
              <w:rPr>
                <w:rFonts w:hint="cs"/>
                <w:rtl/>
              </w:rPr>
              <w:t>תחבורה</w:t>
            </w:r>
            <w:r>
              <w:rPr>
                <w:rFonts w:hint="cs"/>
                <w:rtl/>
              </w:rPr>
              <w:t xml:space="preserve"> והבטיחות בדרכים</w:t>
            </w:r>
            <w:r w:rsidRPr="003B1F55">
              <w:rPr>
                <w:rtl/>
              </w:rPr>
              <w:t xml:space="preserve">, </w:t>
            </w:r>
            <w:r w:rsidRPr="003B1F55">
              <w:rPr>
                <w:rFonts w:hint="cs"/>
                <w:rtl/>
              </w:rPr>
              <w:t>בהסכמת</w:t>
            </w:r>
            <w:r w:rsidRPr="003B1F55">
              <w:rPr>
                <w:rtl/>
              </w:rPr>
              <w:t xml:space="preserve"> </w:t>
            </w:r>
            <w:r w:rsidRPr="003B1F55">
              <w:rPr>
                <w:rFonts w:hint="cs"/>
                <w:rtl/>
              </w:rPr>
              <w:t xml:space="preserve">שר המשפטים </w:t>
            </w:r>
            <w:r w:rsidRPr="003B1F55">
              <w:rPr>
                <w:rtl/>
              </w:rPr>
              <w:t xml:space="preserve">ובאישור ועדת </w:t>
            </w:r>
            <w:r w:rsidRPr="003B1F55">
              <w:rPr>
                <w:rFonts w:hint="cs"/>
                <w:rtl/>
              </w:rPr>
              <w:t>הכלכלה</w:t>
            </w:r>
            <w:r w:rsidRPr="003B1F55">
              <w:rPr>
                <w:rtl/>
              </w:rPr>
              <w:t xml:space="preserve"> של הכנסת, רשאי, בצו, לשנות את התוספות </w:t>
            </w:r>
            <w:r w:rsidRPr="003B1F55">
              <w:rPr>
                <w:rFonts w:hint="cs"/>
                <w:rtl/>
              </w:rPr>
              <w:t xml:space="preserve">הראשונה והשנייה </w:t>
            </w:r>
            <w:r w:rsidRPr="003B1F55">
              <w:rPr>
                <w:rtl/>
              </w:rPr>
              <w:t>לחוק זה, ובכלל זה להרחיבן או לגרוע מהן</w:t>
            </w:r>
            <w:r w:rsidRPr="003B1F55">
              <w:rPr>
                <w:rFonts w:hint="cs"/>
                <w:rtl/>
              </w:rPr>
              <w:t xml:space="preserve">, </w:t>
            </w:r>
            <w:r w:rsidRPr="003B1F55">
              <w:rPr>
                <w:rtl/>
              </w:rPr>
              <w:t>ורשאי הוא לקבוע שיעורי</w:t>
            </w:r>
            <w:r w:rsidRPr="003B1F55">
              <w:rPr>
                <w:rFonts w:hint="cs"/>
                <w:rtl/>
              </w:rPr>
              <w:t xml:space="preserve"> קנס </w:t>
            </w:r>
            <w:r w:rsidR="009A7295">
              <w:rPr>
                <w:rFonts w:hint="cs"/>
                <w:rtl/>
              </w:rPr>
              <w:t>הפרה</w:t>
            </w:r>
            <w:r w:rsidR="009A7295" w:rsidRPr="003B1F55">
              <w:rPr>
                <w:rtl/>
              </w:rPr>
              <w:t xml:space="preserve"> </w:t>
            </w:r>
            <w:r w:rsidRPr="003B1F55">
              <w:rPr>
                <w:rtl/>
              </w:rPr>
              <w:t xml:space="preserve">שונים </w:t>
            </w:r>
            <w:r w:rsidRPr="003B1F55">
              <w:rPr>
                <w:rFonts w:hint="cs"/>
                <w:rtl/>
              </w:rPr>
              <w:t>להפרת תעבורה</w:t>
            </w:r>
            <w:r w:rsidRPr="003B1F55">
              <w:rPr>
                <w:rtl/>
              </w:rPr>
              <w:t xml:space="preserve"> בהתחשב בנסיבות ביצועה.</w:t>
            </w:r>
          </w:p>
        </w:tc>
      </w:tr>
      <w:tr w:rsidR="00B00EBD">
        <w:trPr>
          <w:cantSplit/>
          <w:trHeight w:val="60"/>
        </w:trPr>
        <w:tc>
          <w:tcPr>
            <w:tcW w:w="1871" w:type="dxa"/>
          </w:tcPr>
          <w:p w:rsidR="00B00EBD" w:rsidRDefault="00B00EBD" w:rsidP="000A70C2">
            <w:pPr>
              <w:pStyle w:val="TableSideHeading"/>
              <w:keepLines w:val="0"/>
              <w:rPr>
                <w:rtl/>
              </w:rPr>
            </w:pPr>
          </w:p>
        </w:tc>
        <w:tc>
          <w:tcPr>
            <w:tcW w:w="624" w:type="dxa"/>
          </w:tcPr>
          <w:p w:rsidR="00B00EBD" w:rsidRDefault="00B00EBD" w:rsidP="00B00EBD">
            <w:pPr>
              <w:pStyle w:val="TableText"/>
            </w:pPr>
          </w:p>
        </w:tc>
        <w:tc>
          <w:tcPr>
            <w:tcW w:w="7146" w:type="dxa"/>
            <w:gridSpan w:val="5"/>
          </w:tcPr>
          <w:p w:rsidR="00B00EBD" w:rsidRPr="00FE1884" w:rsidRDefault="00B00EBD" w:rsidP="00AB3999">
            <w:pPr>
              <w:pStyle w:val="TableBlock"/>
              <w:numPr>
                <w:ilvl w:val="0"/>
                <w:numId w:val="6"/>
              </w:numPr>
              <w:tabs>
                <w:tab w:val="left" w:pos="624"/>
              </w:tabs>
              <w:rPr>
                <w:rtl/>
              </w:rPr>
            </w:pPr>
            <w:r w:rsidRPr="00FE1884">
              <w:rPr>
                <w:rStyle w:val="default"/>
                <w:rFonts w:asciiTheme="minorBidi" w:hAnsiTheme="minorBidi"/>
                <w:rtl/>
              </w:rPr>
              <w:t>היה ל</w:t>
            </w:r>
            <w:r w:rsidRPr="00FE1884">
              <w:rPr>
                <w:rStyle w:val="default"/>
                <w:rFonts w:asciiTheme="minorBidi" w:hAnsiTheme="minorBidi" w:hint="cs"/>
                <w:rtl/>
              </w:rPr>
              <w:t xml:space="preserve">גורם אכיפה </w:t>
            </w:r>
            <w:r w:rsidRPr="00FE1884">
              <w:rPr>
                <w:rStyle w:val="default"/>
                <w:rFonts w:asciiTheme="minorBidi" w:hAnsiTheme="minorBidi"/>
                <w:rtl/>
              </w:rPr>
              <w:t xml:space="preserve">יסוד </w:t>
            </w:r>
            <w:r w:rsidRPr="00FE1884">
              <w:rPr>
                <w:rStyle w:val="default"/>
                <w:rFonts w:asciiTheme="minorBidi" w:hAnsiTheme="minorBidi" w:hint="cs"/>
                <w:rtl/>
              </w:rPr>
              <w:t xml:space="preserve">סביר </w:t>
            </w:r>
            <w:r w:rsidRPr="00FE1884">
              <w:rPr>
                <w:rStyle w:val="default"/>
                <w:rFonts w:asciiTheme="minorBidi" w:hAnsiTheme="minorBidi"/>
                <w:rtl/>
              </w:rPr>
              <w:t xml:space="preserve">להניח כי אדם </w:t>
            </w:r>
            <w:r w:rsidRPr="00FE1884">
              <w:rPr>
                <w:rStyle w:val="default"/>
                <w:rFonts w:asciiTheme="minorBidi" w:hAnsiTheme="minorBidi" w:hint="cs"/>
                <w:rtl/>
              </w:rPr>
              <w:t xml:space="preserve">ביצע הפרת תעבורה </w:t>
            </w:r>
            <w:r w:rsidRPr="00FE1884">
              <w:rPr>
                <w:rStyle w:val="default"/>
                <w:rFonts w:asciiTheme="minorBidi" w:hAnsiTheme="minorBidi"/>
                <w:rtl/>
              </w:rPr>
              <w:t xml:space="preserve">וכי התקיימו נסיבות מחמירות הקשורות באותו אדם או בביצוע </w:t>
            </w:r>
            <w:r w:rsidRPr="00FE1884">
              <w:rPr>
                <w:rStyle w:val="default"/>
                <w:rFonts w:asciiTheme="minorBidi" w:hAnsiTheme="minorBidi" w:hint="cs"/>
                <w:rtl/>
              </w:rPr>
              <w:t>הפרת התעבורה</w:t>
            </w:r>
            <w:r w:rsidRPr="00FE1884">
              <w:rPr>
                <w:rStyle w:val="default"/>
                <w:rFonts w:asciiTheme="minorBidi" w:hAnsiTheme="minorBidi"/>
                <w:rtl/>
              </w:rPr>
              <w:t>,</w:t>
            </w:r>
            <w:r w:rsidRPr="00FE1884">
              <w:rPr>
                <w:rStyle w:val="default"/>
                <w:rFonts w:asciiTheme="minorBidi" w:hAnsiTheme="minorBidi"/>
                <w:color w:val="000000"/>
                <w:rtl/>
              </w:rPr>
              <w:t xml:space="preserve"> לא </w:t>
            </w:r>
            <w:r w:rsidRPr="00FE1884">
              <w:rPr>
                <w:rStyle w:val="default"/>
                <w:rFonts w:asciiTheme="minorBidi" w:hAnsiTheme="minorBidi" w:hint="cs"/>
                <w:color w:val="000000"/>
                <w:rtl/>
              </w:rPr>
              <w:t>תומצא</w:t>
            </w:r>
            <w:r w:rsidRPr="00FE1884">
              <w:rPr>
                <w:rStyle w:val="default"/>
                <w:rFonts w:asciiTheme="minorBidi" w:hAnsiTheme="minorBidi"/>
                <w:color w:val="000000"/>
                <w:rtl/>
              </w:rPr>
              <w:t xml:space="preserve"> </w:t>
            </w:r>
            <w:r w:rsidRPr="00FE1884">
              <w:rPr>
                <w:rStyle w:val="default"/>
                <w:rFonts w:asciiTheme="minorBidi" w:hAnsiTheme="minorBidi" w:hint="cs"/>
                <w:color w:val="000000"/>
                <w:rtl/>
              </w:rPr>
              <w:t>הודעת תשלום</w:t>
            </w:r>
            <w:r w:rsidRPr="00FE1884">
              <w:rPr>
                <w:rStyle w:val="default"/>
                <w:rFonts w:asciiTheme="minorBidi" w:hAnsiTheme="minorBidi"/>
                <w:color w:val="000000"/>
                <w:rtl/>
              </w:rPr>
              <w:t xml:space="preserve"> כאמור בסעיף </w:t>
            </w:r>
            <w:r w:rsidRPr="00FE1884">
              <w:rPr>
                <w:rStyle w:val="default"/>
                <w:rFonts w:asciiTheme="minorBidi" w:hAnsiTheme="minorBidi"/>
                <w:rtl/>
              </w:rPr>
              <w:t>3, יודיע לו כי יוגש נגדו אישום ותימסר לו הזמנה למשפט לפי חוק סדר הדין הפלילי</w:t>
            </w:r>
            <w:r w:rsidRPr="00FE1884">
              <w:rPr>
                <w:rStyle w:val="default"/>
                <w:rFonts w:asciiTheme="minorBidi" w:hAnsiTheme="minorBidi" w:hint="cs"/>
                <w:rtl/>
              </w:rPr>
              <w:t xml:space="preserve">; בחוק זה, </w:t>
            </w:r>
            <w:r w:rsidRPr="00FE1884">
              <w:rPr>
                <w:rStyle w:val="default"/>
                <w:rFonts w:asciiTheme="minorBidi" w:hAnsiTheme="minorBidi"/>
                <w:rtl/>
              </w:rPr>
              <w:t>"נסיבות מחמירות"</w:t>
            </w:r>
            <w:r w:rsidRPr="00FE1884">
              <w:rPr>
                <w:rStyle w:val="default"/>
                <w:rFonts w:asciiTheme="minorBidi" w:hAnsiTheme="minorBidi" w:hint="cs"/>
                <w:rtl/>
              </w:rPr>
              <w:t xml:space="preserve"> </w:t>
            </w:r>
            <w:r w:rsidRPr="00FE1884">
              <w:rPr>
                <w:rStyle w:val="default"/>
                <w:rFonts w:asciiTheme="minorBidi" w:hAnsiTheme="minorBidi"/>
                <w:rtl/>
              </w:rPr>
              <w:t xml:space="preserve">– כפי שנקבעו בהוראות מאת ראש מחלקת תנועה של משטרת ישראל בהסכמת שר המשפטים ושר התחבורה </w:t>
            </w:r>
            <w:r w:rsidR="00187428">
              <w:rPr>
                <w:rFonts w:hint="cs"/>
                <w:rtl/>
              </w:rPr>
              <w:t>והבטיחות בדרכים</w:t>
            </w:r>
            <w:r w:rsidR="00187428" w:rsidRPr="00FE1884">
              <w:rPr>
                <w:rStyle w:val="default"/>
                <w:rFonts w:asciiTheme="minorBidi" w:hAnsiTheme="minorBidi"/>
                <w:rtl/>
              </w:rPr>
              <w:t xml:space="preserve"> </w:t>
            </w:r>
            <w:r w:rsidRPr="00FE1884">
              <w:rPr>
                <w:rStyle w:val="default"/>
                <w:rFonts w:asciiTheme="minorBidi" w:hAnsiTheme="minorBidi"/>
                <w:rtl/>
              </w:rPr>
              <w:t xml:space="preserve">ופורסמו ברשומות, </w:t>
            </w:r>
            <w:r w:rsidRPr="00FE1884">
              <w:rPr>
                <w:rStyle w:val="default"/>
                <w:rFonts w:asciiTheme="minorBidi" w:hAnsiTheme="minorBidi" w:hint="cs"/>
                <w:rtl/>
              </w:rPr>
              <w:t>בשני</w:t>
            </w:r>
            <w:r w:rsidRPr="00FE1884">
              <w:rPr>
                <w:rStyle w:val="default"/>
                <w:rFonts w:asciiTheme="minorBidi" w:hAnsiTheme="minorBidi"/>
                <w:rtl/>
              </w:rPr>
              <w:t xml:space="preserve"> עיתונים יומיים, שאחד מהם מתפרסם בשפה הערבית, ובאתר האינטרנט של משטרת ישראל</w:t>
            </w:r>
            <w:r w:rsidRPr="00FE1884">
              <w:rPr>
                <w:rStyle w:val="default"/>
                <w:rFonts w:asciiTheme="minorBidi" w:hAnsiTheme="minorBidi" w:hint="cs"/>
                <w:color w:val="000000"/>
                <w:rtl/>
              </w:rPr>
              <w:t>.</w:t>
            </w:r>
          </w:p>
        </w:tc>
      </w:tr>
      <w:tr w:rsidR="00B00EBD">
        <w:trPr>
          <w:cantSplit/>
          <w:trHeight w:val="60"/>
        </w:trPr>
        <w:tc>
          <w:tcPr>
            <w:tcW w:w="1871" w:type="dxa"/>
          </w:tcPr>
          <w:p w:rsidR="00B00EBD" w:rsidRDefault="00B00EBD" w:rsidP="000A70C2">
            <w:pPr>
              <w:pStyle w:val="TableSideHeading"/>
              <w:keepLines w:val="0"/>
              <w:rPr>
                <w:rtl/>
              </w:rPr>
            </w:pPr>
          </w:p>
        </w:tc>
        <w:tc>
          <w:tcPr>
            <w:tcW w:w="624" w:type="dxa"/>
          </w:tcPr>
          <w:p w:rsidR="00B00EBD" w:rsidRDefault="00B00EBD" w:rsidP="00B00EBD">
            <w:pPr>
              <w:pStyle w:val="TableText"/>
            </w:pPr>
          </w:p>
        </w:tc>
        <w:tc>
          <w:tcPr>
            <w:tcW w:w="7146" w:type="dxa"/>
            <w:gridSpan w:val="5"/>
          </w:tcPr>
          <w:p w:rsidR="00B00EBD" w:rsidRPr="00FE1884" w:rsidRDefault="00B00EBD" w:rsidP="00AB3999">
            <w:pPr>
              <w:pStyle w:val="TableBlock"/>
              <w:numPr>
                <w:ilvl w:val="0"/>
                <w:numId w:val="6"/>
              </w:numPr>
              <w:tabs>
                <w:tab w:val="left" w:pos="624"/>
              </w:tabs>
              <w:rPr>
                <w:rtl/>
              </w:rPr>
            </w:pPr>
            <w:r w:rsidRPr="00FE1884">
              <w:rPr>
                <w:rStyle w:val="default"/>
                <w:rFonts w:asciiTheme="minorBidi" w:hAnsiTheme="minorBidi"/>
                <w:rtl/>
              </w:rPr>
              <w:t>על אף האמור בסעיף</w:t>
            </w:r>
            <w:r w:rsidRPr="00FE1884">
              <w:rPr>
                <w:rStyle w:val="default"/>
                <w:rFonts w:asciiTheme="minorBidi" w:hAnsiTheme="minorBidi" w:hint="cs"/>
                <w:rtl/>
              </w:rPr>
              <w:t xml:space="preserve"> קטן (א)</w:t>
            </w:r>
            <w:r w:rsidRPr="00FE1884">
              <w:rPr>
                <w:rStyle w:val="default"/>
                <w:rFonts w:asciiTheme="minorBidi" w:hAnsiTheme="minorBidi"/>
                <w:rtl/>
              </w:rPr>
              <w:t xml:space="preserve"> </w:t>
            </w:r>
            <w:r w:rsidRPr="00FE1884">
              <w:rPr>
                <w:rStyle w:val="default"/>
                <w:rFonts w:asciiTheme="minorBidi" w:hAnsiTheme="minorBidi" w:hint="cs"/>
                <w:rtl/>
              </w:rPr>
              <w:t xml:space="preserve">עבירת תעבורה המנויה בתוספת הראשונה לא תהיה הפרת תעבורה </w:t>
            </w:r>
            <w:r w:rsidRPr="00FE1884">
              <w:rPr>
                <w:rStyle w:val="default"/>
                <w:rFonts w:asciiTheme="minorBidi" w:hAnsiTheme="minorBidi" w:hint="eastAsia"/>
                <w:rtl/>
              </w:rPr>
              <w:t>אם</w:t>
            </w:r>
            <w:r w:rsidRPr="00FE1884">
              <w:rPr>
                <w:rStyle w:val="default"/>
                <w:rFonts w:asciiTheme="minorBidi" w:hAnsiTheme="minorBidi"/>
                <w:rtl/>
              </w:rPr>
              <w:t xml:space="preserve"> כתוצאה ממנה או בקשר עמה נגרמה תאונת דרכים שבה נפגע אדם או ניזוק רכוש או כאשר חלים עליה סעיפים 37 עד 39 לפקוד</w:t>
            </w:r>
            <w:r w:rsidRPr="00FE1884">
              <w:rPr>
                <w:rStyle w:val="default"/>
                <w:rFonts w:asciiTheme="minorBidi" w:hAnsiTheme="minorBidi" w:hint="eastAsia"/>
                <w:rtl/>
              </w:rPr>
              <w:t>ת</w:t>
            </w:r>
            <w:r w:rsidRPr="00FE1884">
              <w:rPr>
                <w:rStyle w:val="default"/>
                <w:rFonts w:asciiTheme="minorBidi" w:hAnsiTheme="minorBidi"/>
                <w:rtl/>
              </w:rPr>
              <w:t xml:space="preserve"> </w:t>
            </w:r>
            <w:r w:rsidRPr="00FE1884">
              <w:rPr>
                <w:rStyle w:val="default"/>
                <w:rFonts w:asciiTheme="minorBidi" w:hAnsiTheme="minorBidi" w:hint="eastAsia"/>
                <w:rtl/>
              </w:rPr>
              <w:t>התעבורה</w:t>
            </w:r>
            <w:r w:rsidRPr="00FE1884">
              <w:rPr>
                <w:rStyle w:val="default"/>
                <w:rFonts w:asciiTheme="minorBidi" w:hAnsiTheme="minorBidi"/>
                <w:rtl/>
              </w:rPr>
              <w:t>.</w:t>
            </w:r>
          </w:p>
        </w:tc>
      </w:tr>
      <w:tr w:rsidR="00B00EBD">
        <w:trPr>
          <w:cantSplit/>
          <w:trHeight w:val="60"/>
        </w:trPr>
        <w:tc>
          <w:tcPr>
            <w:tcW w:w="1871" w:type="dxa"/>
          </w:tcPr>
          <w:p w:rsidR="00B00EBD" w:rsidRDefault="00B00EBD" w:rsidP="000A70C2">
            <w:pPr>
              <w:pStyle w:val="TableSideHeading"/>
              <w:keepLines w:val="0"/>
              <w:rPr>
                <w:rtl/>
              </w:rPr>
            </w:pPr>
          </w:p>
        </w:tc>
        <w:tc>
          <w:tcPr>
            <w:tcW w:w="624" w:type="dxa"/>
          </w:tcPr>
          <w:p w:rsidR="00B00EBD" w:rsidRDefault="00B00EBD" w:rsidP="00B00EBD">
            <w:pPr>
              <w:pStyle w:val="TableText"/>
            </w:pPr>
          </w:p>
        </w:tc>
        <w:tc>
          <w:tcPr>
            <w:tcW w:w="7146" w:type="dxa"/>
            <w:gridSpan w:val="5"/>
          </w:tcPr>
          <w:p w:rsidR="00B00EBD" w:rsidRPr="00FE1884" w:rsidRDefault="00B00EBD" w:rsidP="00EB148E">
            <w:pPr>
              <w:pStyle w:val="TableBlock"/>
              <w:numPr>
                <w:ilvl w:val="0"/>
                <w:numId w:val="6"/>
              </w:numPr>
              <w:tabs>
                <w:tab w:val="left" w:pos="624"/>
              </w:tabs>
              <w:rPr>
                <w:rtl/>
              </w:rPr>
            </w:pPr>
            <w:r w:rsidRPr="00FE1884">
              <w:rPr>
                <w:rStyle w:val="default"/>
                <w:rFonts w:asciiTheme="minorBidi" w:hAnsiTheme="minorBidi" w:hint="cs"/>
                <w:rtl/>
              </w:rPr>
              <w:t>קב</w:t>
            </w:r>
            <w:r w:rsidRPr="00FE1884">
              <w:rPr>
                <w:rStyle w:val="default"/>
                <w:rFonts w:asciiTheme="minorBidi" w:hAnsiTheme="minorBidi"/>
                <w:rtl/>
              </w:rPr>
              <w:t>יעת עביר</w:t>
            </w:r>
            <w:r w:rsidRPr="00FE1884">
              <w:rPr>
                <w:rStyle w:val="default"/>
                <w:rFonts w:asciiTheme="minorBidi" w:hAnsiTheme="minorBidi" w:hint="cs"/>
                <w:rtl/>
              </w:rPr>
              <w:t>ת תעבורה כהפרת תעבורה</w:t>
            </w:r>
            <w:r w:rsidRPr="00FE1884">
              <w:rPr>
                <w:rStyle w:val="default"/>
                <w:rFonts w:asciiTheme="minorBidi" w:hAnsiTheme="minorBidi"/>
                <w:rtl/>
              </w:rPr>
              <w:t xml:space="preserve">, אין בה כדי לגרוע מסמכותו של תובע להגיש בשל אותה עבירה כתב אישום, אם הוא סבור שנסיבות העבירה מחייבות את בירור המשפט, ובלבד שטרם </w:t>
            </w:r>
            <w:r w:rsidRPr="00FE1884">
              <w:rPr>
                <w:rStyle w:val="default"/>
                <w:rFonts w:asciiTheme="minorBidi" w:hAnsiTheme="minorBidi" w:hint="eastAsia"/>
                <w:rtl/>
              </w:rPr>
              <w:t>הומצאה</w:t>
            </w:r>
            <w:r w:rsidRPr="00FE1884">
              <w:rPr>
                <w:rStyle w:val="default"/>
                <w:rFonts w:asciiTheme="minorBidi" w:hAnsiTheme="minorBidi"/>
                <w:rtl/>
              </w:rPr>
              <w:t xml:space="preserve"> הודעת תשלום לפי סעיף </w:t>
            </w:r>
            <w:r w:rsidR="00EB148E" w:rsidRPr="00FE1884">
              <w:rPr>
                <w:rStyle w:val="default"/>
                <w:rFonts w:asciiTheme="minorBidi" w:hAnsiTheme="minorBidi" w:hint="cs"/>
                <w:rtl/>
              </w:rPr>
              <w:t>3</w:t>
            </w:r>
            <w:r w:rsidRPr="00FE1884">
              <w:rPr>
                <w:rStyle w:val="default"/>
                <w:rFonts w:asciiTheme="minorBidi" w:hAnsiTheme="minorBidi"/>
                <w:rtl/>
              </w:rPr>
              <w:t>(</w:t>
            </w:r>
            <w:r w:rsidRPr="00FE1884">
              <w:rPr>
                <w:rStyle w:val="default"/>
                <w:rFonts w:asciiTheme="minorBidi" w:hAnsiTheme="minorBidi" w:hint="cs"/>
                <w:rtl/>
              </w:rPr>
              <w:t>א</w:t>
            </w:r>
            <w:r w:rsidRPr="00FE1884">
              <w:rPr>
                <w:rStyle w:val="default"/>
                <w:rFonts w:asciiTheme="minorBidi" w:hAnsiTheme="minorBidi"/>
                <w:rtl/>
              </w:rPr>
              <w:t>)</w:t>
            </w:r>
            <w:r w:rsidRPr="00FE1884">
              <w:rPr>
                <w:rStyle w:val="default"/>
                <w:rFonts w:asciiTheme="minorBidi" w:hAnsiTheme="minorBidi"/>
              </w:rPr>
              <w:t>.</w:t>
            </w:r>
          </w:p>
        </w:tc>
      </w:tr>
      <w:tr w:rsidR="00FC1E4A">
        <w:trPr>
          <w:cantSplit/>
          <w:trHeight w:val="60"/>
        </w:trPr>
        <w:tc>
          <w:tcPr>
            <w:tcW w:w="1871" w:type="dxa"/>
          </w:tcPr>
          <w:p w:rsidR="00FC1E4A" w:rsidRDefault="00FC1E4A" w:rsidP="000A70C2">
            <w:pPr>
              <w:pStyle w:val="TableSideHeading"/>
              <w:keepLines w:val="0"/>
              <w:rPr>
                <w:rtl/>
              </w:rPr>
            </w:pPr>
          </w:p>
        </w:tc>
        <w:tc>
          <w:tcPr>
            <w:tcW w:w="624" w:type="dxa"/>
          </w:tcPr>
          <w:p w:rsidR="00FC1E4A" w:rsidRDefault="00FC1E4A" w:rsidP="00FC1E4A">
            <w:pPr>
              <w:pStyle w:val="TableText"/>
            </w:pPr>
          </w:p>
        </w:tc>
        <w:tc>
          <w:tcPr>
            <w:tcW w:w="7146" w:type="dxa"/>
            <w:gridSpan w:val="5"/>
          </w:tcPr>
          <w:p w:rsidR="00FC1E4A" w:rsidRPr="00FC1E4A" w:rsidRDefault="00345611" w:rsidP="00345611">
            <w:pPr>
              <w:pStyle w:val="TableBlock"/>
              <w:numPr>
                <w:ilvl w:val="0"/>
                <w:numId w:val="6"/>
              </w:numPr>
              <w:tabs>
                <w:tab w:val="left" w:pos="624"/>
              </w:tabs>
              <w:rPr>
                <w:rtl/>
              </w:rPr>
            </w:pPr>
            <w:r w:rsidRPr="00345611">
              <w:rPr>
                <w:rStyle w:val="default"/>
                <w:rFonts w:asciiTheme="minorBidi" w:hAnsiTheme="minorBidi"/>
                <w:rtl/>
              </w:rPr>
              <w:t xml:space="preserve">גורם אכיפה לא </w:t>
            </w:r>
            <w:proofErr w:type="spellStart"/>
            <w:r w:rsidRPr="00345611">
              <w:rPr>
                <w:rStyle w:val="default"/>
                <w:rFonts w:asciiTheme="minorBidi" w:hAnsiTheme="minorBidi"/>
                <w:rtl/>
              </w:rPr>
              <w:t>יתן</w:t>
            </w:r>
            <w:proofErr w:type="spellEnd"/>
            <w:r w:rsidRPr="00345611">
              <w:rPr>
                <w:rStyle w:val="default"/>
                <w:rFonts w:asciiTheme="minorBidi" w:hAnsiTheme="minorBidi"/>
                <w:rtl/>
              </w:rPr>
              <w:t xml:space="preserve"> החלטה כאמור בסעיף קטן (א) לגבי מעשה שעשה אדם בטרם מלאו לו </w:t>
            </w:r>
            <w:r w:rsidR="00FC1E4A" w:rsidRPr="00FC1E4A">
              <w:rPr>
                <w:rStyle w:val="default"/>
                <w:rFonts w:asciiTheme="minorBidi" w:hAnsiTheme="minorBidi"/>
                <w:rtl/>
              </w:rPr>
              <w:t>שתים עשרה שנים</w:t>
            </w:r>
            <w:r w:rsidR="00FC1E4A" w:rsidRPr="00FC1E4A">
              <w:rPr>
                <w:rStyle w:val="default"/>
                <w:rFonts w:asciiTheme="minorBidi" w:hAnsiTheme="minorBidi"/>
              </w:rPr>
              <w:t>.</w:t>
            </w:r>
          </w:p>
        </w:tc>
      </w:tr>
      <w:tr w:rsidR="00B00EBD">
        <w:trPr>
          <w:cantSplit/>
          <w:trHeight w:val="60"/>
        </w:trPr>
        <w:tc>
          <w:tcPr>
            <w:tcW w:w="1871" w:type="dxa"/>
          </w:tcPr>
          <w:p w:rsidR="00B00EBD" w:rsidRPr="00B00EBD" w:rsidRDefault="00B00EBD" w:rsidP="00B00EBD">
            <w:pPr>
              <w:pStyle w:val="TableSideHeading"/>
              <w:outlineLvl w:val="9"/>
            </w:pPr>
            <w:bookmarkStart w:id="15" w:name="_Toc75433130"/>
            <w:r w:rsidRPr="00B00EBD">
              <w:rPr>
                <w:rFonts w:hint="cs"/>
                <w:rtl/>
              </w:rPr>
              <w:t>הודעה על הפרת תעבורה</w:t>
            </w:r>
            <w:bookmarkEnd w:id="15"/>
          </w:p>
        </w:tc>
        <w:tc>
          <w:tcPr>
            <w:tcW w:w="624" w:type="dxa"/>
          </w:tcPr>
          <w:p w:rsidR="00B00EBD" w:rsidRDefault="00B00EBD" w:rsidP="00AB3999">
            <w:pPr>
              <w:pStyle w:val="TableText"/>
              <w:keepLines w:val="0"/>
              <w:numPr>
                <w:ilvl w:val="0"/>
                <w:numId w:val="3"/>
              </w:numPr>
            </w:pPr>
          </w:p>
        </w:tc>
        <w:tc>
          <w:tcPr>
            <w:tcW w:w="7146" w:type="dxa"/>
            <w:gridSpan w:val="5"/>
          </w:tcPr>
          <w:p w:rsidR="00B00EBD" w:rsidRPr="00C34DE2" w:rsidRDefault="00B00EBD" w:rsidP="00EB148E">
            <w:pPr>
              <w:pStyle w:val="TableBlock"/>
              <w:numPr>
                <w:ilvl w:val="0"/>
                <w:numId w:val="7"/>
              </w:numPr>
              <w:tabs>
                <w:tab w:val="left" w:pos="624"/>
              </w:tabs>
            </w:pPr>
            <w:r w:rsidRPr="008961D5">
              <w:rPr>
                <w:rFonts w:hint="cs"/>
                <w:rtl/>
              </w:rPr>
              <w:t xml:space="preserve">גורם האכיפה </w:t>
            </w:r>
            <w:r w:rsidRPr="008961D5">
              <w:rPr>
                <w:rFonts w:hint="eastAsia"/>
                <w:rtl/>
              </w:rPr>
              <w:t>ימציא</w:t>
            </w:r>
            <w:r w:rsidRPr="008961D5">
              <w:rPr>
                <w:rFonts w:hint="cs"/>
                <w:rtl/>
              </w:rPr>
              <w:t xml:space="preserve"> למפר הודעת תשלום קנס </w:t>
            </w:r>
            <w:r w:rsidR="00EB148E">
              <w:rPr>
                <w:rFonts w:hint="cs"/>
                <w:rtl/>
              </w:rPr>
              <w:t>הפרה</w:t>
            </w:r>
            <w:r w:rsidR="00EB148E" w:rsidRPr="008961D5">
              <w:rPr>
                <w:rFonts w:hint="cs"/>
                <w:rtl/>
              </w:rPr>
              <w:t xml:space="preserve"> </w:t>
            </w:r>
            <w:r w:rsidRPr="008961D5">
              <w:rPr>
                <w:rFonts w:hint="cs"/>
                <w:rtl/>
              </w:rPr>
              <w:t xml:space="preserve">על החלטה כאמור </w:t>
            </w:r>
            <w:r w:rsidRPr="008961D5">
              <w:rPr>
                <w:rFonts w:hint="eastAsia"/>
                <w:rtl/>
              </w:rPr>
              <w:t>בסעיף</w:t>
            </w:r>
            <w:r w:rsidRPr="008961D5">
              <w:rPr>
                <w:rtl/>
              </w:rPr>
              <w:t xml:space="preserve"> 2</w:t>
            </w:r>
            <w:r w:rsidRPr="008961D5">
              <w:rPr>
                <w:rFonts w:hint="cs"/>
                <w:rtl/>
              </w:rPr>
              <w:t xml:space="preserve"> (בחוק זה </w:t>
            </w:r>
            <w:r w:rsidRPr="008961D5">
              <w:rPr>
                <w:rtl/>
              </w:rPr>
              <w:t>–</w:t>
            </w:r>
            <w:r w:rsidRPr="008961D5">
              <w:rPr>
                <w:rFonts w:hint="cs"/>
                <w:rtl/>
              </w:rPr>
              <w:t xml:space="preserve"> הודעת תשלום).</w:t>
            </w:r>
          </w:p>
        </w:tc>
      </w:tr>
      <w:tr w:rsidR="00B00EBD">
        <w:trPr>
          <w:cantSplit/>
          <w:trHeight w:val="60"/>
        </w:trPr>
        <w:tc>
          <w:tcPr>
            <w:tcW w:w="1871" w:type="dxa"/>
          </w:tcPr>
          <w:p w:rsidR="00B00EBD" w:rsidRDefault="00B00EBD" w:rsidP="000A70C2">
            <w:pPr>
              <w:pStyle w:val="TableSideHeading"/>
              <w:keepLines w:val="0"/>
              <w:rPr>
                <w:rtl/>
              </w:rPr>
            </w:pPr>
          </w:p>
        </w:tc>
        <w:tc>
          <w:tcPr>
            <w:tcW w:w="624" w:type="dxa"/>
          </w:tcPr>
          <w:p w:rsidR="00B00EBD" w:rsidRDefault="00B00EBD" w:rsidP="00B00EBD">
            <w:pPr>
              <w:pStyle w:val="TableText"/>
            </w:pPr>
          </w:p>
        </w:tc>
        <w:tc>
          <w:tcPr>
            <w:tcW w:w="7146" w:type="dxa"/>
            <w:gridSpan w:val="5"/>
          </w:tcPr>
          <w:p w:rsidR="00B00EBD" w:rsidRPr="008961D5" w:rsidRDefault="00B00EBD" w:rsidP="00AB3999">
            <w:pPr>
              <w:pStyle w:val="TableBlock"/>
              <w:numPr>
                <w:ilvl w:val="0"/>
                <w:numId w:val="7"/>
              </w:numPr>
              <w:tabs>
                <w:tab w:val="left" w:pos="624"/>
              </w:tabs>
              <w:rPr>
                <w:rtl/>
              </w:rPr>
            </w:pPr>
            <w:r w:rsidRPr="008961D5">
              <w:rPr>
                <w:rFonts w:hint="cs"/>
                <w:rtl/>
              </w:rPr>
              <w:t xml:space="preserve">היה המפר קטין, </w:t>
            </w:r>
            <w:r w:rsidRPr="008961D5">
              <w:rPr>
                <w:rFonts w:hint="eastAsia"/>
                <w:rtl/>
              </w:rPr>
              <w:t>ישלח</w:t>
            </w:r>
            <w:r w:rsidRPr="008961D5">
              <w:rPr>
                <w:rFonts w:hint="cs"/>
                <w:rtl/>
              </w:rPr>
              <w:t xml:space="preserve"> העתק מהודעת התשלום להורה; אין בהוראה זו כדי לפגוע </w:t>
            </w:r>
            <w:r w:rsidRPr="007E3A64">
              <w:rPr>
                <w:rFonts w:hint="eastAsia"/>
                <w:rtl/>
              </w:rPr>
              <w:t>ב</w:t>
            </w:r>
            <w:r w:rsidRPr="007E3A64">
              <w:rPr>
                <w:rFonts w:hint="cs"/>
                <w:rtl/>
              </w:rPr>
              <w:t>תוקפה של</w:t>
            </w:r>
            <w:r w:rsidRPr="00AC7426">
              <w:rPr>
                <w:rFonts w:hint="cs"/>
                <w:rtl/>
              </w:rPr>
              <w:t xml:space="preserve"> </w:t>
            </w:r>
            <w:r w:rsidRPr="008961D5">
              <w:rPr>
                <w:rFonts w:hint="eastAsia"/>
                <w:rtl/>
              </w:rPr>
              <w:t>הודעת</w:t>
            </w:r>
            <w:r w:rsidRPr="008961D5">
              <w:rPr>
                <w:rtl/>
              </w:rPr>
              <w:t xml:space="preserve"> תשלום </w:t>
            </w:r>
            <w:r w:rsidRPr="008961D5">
              <w:rPr>
                <w:rFonts w:hint="eastAsia"/>
                <w:rtl/>
              </w:rPr>
              <w:t>שהומצאה</w:t>
            </w:r>
            <w:r w:rsidRPr="008961D5">
              <w:rPr>
                <w:rtl/>
              </w:rPr>
              <w:t xml:space="preserve"> </w:t>
            </w:r>
            <w:r w:rsidRPr="008961D5">
              <w:rPr>
                <w:rFonts w:hint="eastAsia"/>
                <w:rtl/>
              </w:rPr>
              <w:t>לקטין</w:t>
            </w:r>
            <w:r w:rsidRPr="008961D5">
              <w:rPr>
                <w:rtl/>
              </w:rPr>
              <w:t>, בלא שליחת העתק להורהו כאמור.</w:t>
            </w:r>
          </w:p>
        </w:tc>
      </w:tr>
      <w:tr w:rsidR="00B00EBD">
        <w:trPr>
          <w:cantSplit/>
          <w:trHeight w:val="60"/>
        </w:trPr>
        <w:tc>
          <w:tcPr>
            <w:tcW w:w="1871" w:type="dxa"/>
          </w:tcPr>
          <w:p w:rsidR="00B00EBD" w:rsidRDefault="00B00EBD" w:rsidP="000A70C2">
            <w:pPr>
              <w:pStyle w:val="TableSideHeading"/>
              <w:keepLines w:val="0"/>
              <w:rPr>
                <w:rtl/>
              </w:rPr>
            </w:pPr>
          </w:p>
        </w:tc>
        <w:tc>
          <w:tcPr>
            <w:tcW w:w="624" w:type="dxa"/>
          </w:tcPr>
          <w:p w:rsidR="00B00EBD" w:rsidRDefault="00B00EBD" w:rsidP="00B00EBD">
            <w:pPr>
              <w:pStyle w:val="TableText"/>
            </w:pPr>
          </w:p>
        </w:tc>
        <w:tc>
          <w:tcPr>
            <w:tcW w:w="7146" w:type="dxa"/>
            <w:gridSpan w:val="5"/>
          </w:tcPr>
          <w:p w:rsidR="00B00EBD" w:rsidRPr="008961D5" w:rsidRDefault="00B00EBD" w:rsidP="00AB3999">
            <w:pPr>
              <w:pStyle w:val="TableBlock"/>
              <w:numPr>
                <w:ilvl w:val="0"/>
                <w:numId w:val="7"/>
              </w:numPr>
              <w:tabs>
                <w:tab w:val="left" w:pos="624"/>
              </w:tabs>
              <w:rPr>
                <w:rtl/>
              </w:rPr>
            </w:pPr>
            <w:r w:rsidRPr="003B1F55">
              <w:rPr>
                <w:rFonts w:hint="cs"/>
                <w:rtl/>
              </w:rPr>
              <w:t>בהודע</w:t>
            </w:r>
            <w:r>
              <w:rPr>
                <w:rFonts w:hint="cs"/>
                <w:rtl/>
              </w:rPr>
              <w:t>ת תשלום</w:t>
            </w:r>
            <w:r w:rsidRPr="003B1F55">
              <w:rPr>
                <w:rFonts w:hint="cs"/>
                <w:rtl/>
              </w:rPr>
              <w:t xml:space="preserve"> כאמור ב</w:t>
            </w:r>
            <w:r w:rsidRPr="003B1F55">
              <w:rPr>
                <w:rFonts w:hint="eastAsia"/>
                <w:rtl/>
              </w:rPr>
              <w:t>סעיף</w:t>
            </w:r>
            <w:r w:rsidRPr="003B1F55">
              <w:rPr>
                <w:rtl/>
              </w:rPr>
              <w:t xml:space="preserve"> </w:t>
            </w:r>
            <w:r w:rsidRPr="003B1F55">
              <w:rPr>
                <w:rFonts w:hint="eastAsia"/>
                <w:rtl/>
              </w:rPr>
              <w:t>קטן</w:t>
            </w:r>
            <w:r w:rsidRPr="003B1F55">
              <w:rPr>
                <w:rtl/>
              </w:rPr>
              <w:t xml:space="preserve"> (א)</w:t>
            </w:r>
            <w:r w:rsidRPr="003B1F55">
              <w:rPr>
                <w:rFonts w:hint="cs"/>
                <w:rtl/>
              </w:rPr>
              <w:t xml:space="preserve"> יציין גורם האכיפה, בין השאר, את אלה:</w:t>
            </w:r>
          </w:p>
        </w:tc>
      </w:tr>
      <w:tr w:rsidR="00B00EBD">
        <w:trPr>
          <w:cantSplit/>
          <w:trHeight w:val="60"/>
        </w:trPr>
        <w:tc>
          <w:tcPr>
            <w:tcW w:w="1871" w:type="dxa"/>
          </w:tcPr>
          <w:p w:rsidR="00B00EBD" w:rsidRDefault="00B00EBD">
            <w:pPr>
              <w:pStyle w:val="TableSideHeading"/>
            </w:pPr>
          </w:p>
        </w:tc>
        <w:tc>
          <w:tcPr>
            <w:tcW w:w="624" w:type="dxa"/>
          </w:tcPr>
          <w:p w:rsidR="00B00EBD" w:rsidRDefault="00B00EBD">
            <w:pPr>
              <w:pStyle w:val="TableText"/>
            </w:pPr>
          </w:p>
        </w:tc>
        <w:tc>
          <w:tcPr>
            <w:tcW w:w="624" w:type="dxa"/>
          </w:tcPr>
          <w:p w:rsidR="00B00EBD" w:rsidRDefault="00B00EBD">
            <w:pPr>
              <w:pStyle w:val="TableText"/>
            </w:pPr>
          </w:p>
        </w:tc>
        <w:tc>
          <w:tcPr>
            <w:tcW w:w="6522" w:type="dxa"/>
            <w:gridSpan w:val="4"/>
          </w:tcPr>
          <w:p w:rsidR="00B00EBD" w:rsidRDefault="00B00EBD" w:rsidP="00AB3999">
            <w:pPr>
              <w:pStyle w:val="TableBlock"/>
              <w:numPr>
                <w:ilvl w:val="0"/>
                <w:numId w:val="8"/>
              </w:numPr>
              <w:tabs>
                <w:tab w:val="left" w:pos="624"/>
              </w:tabs>
            </w:pPr>
            <w:r>
              <w:rPr>
                <w:rFonts w:hint="cs"/>
                <w:rtl/>
              </w:rPr>
              <w:t>הפרת התעבורה שנעברה;</w:t>
            </w:r>
          </w:p>
        </w:tc>
      </w:tr>
      <w:tr w:rsidR="00B00EBD">
        <w:trPr>
          <w:cantSplit/>
          <w:trHeight w:val="60"/>
        </w:trPr>
        <w:tc>
          <w:tcPr>
            <w:tcW w:w="1871" w:type="dxa"/>
          </w:tcPr>
          <w:p w:rsidR="00B00EBD" w:rsidRDefault="00B00EBD">
            <w:pPr>
              <w:pStyle w:val="TableSideHeading"/>
            </w:pPr>
          </w:p>
        </w:tc>
        <w:tc>
          <w:tcPr>
            <w:tcW w:w="624" w:type="dxa"/>
          </w:tcPr>
          <w:p w:rsidR="00B00EBD" w:rsidRDefault="00B00EBD" w:rsidP="00B00EBD">
            <w:pPr>
              <w:pStyle w:val="TableText"/>
            </w:pPr>
          </w:p>
        </w:tc>
        <w:tc>
          <w:tcPr>
            <w:tcW w:w="624" w:type="dxa"/>
          </w:tcPr>
          <w:p w:rsidR="00B00EBD" w:rsidRDefault="00B00EBD">
            <w:pPr>
              <w:pStyle w:val="TableText"/>
            </w:pPr>
          </w:p>
        </w:tc>
        <w:tc>
          <w:tcPr>
            <w:tcW w:w="6522" w:type="dxa"/>
            <w:gridSpan w:val="4"/>
          </w:tcPr>
          <w:p w:rsidR="00B00EBD" w:rsidRDefault="00B00EBD" w:rsidP="00EB148E">
            <w:pPr>
              <w:pStyle w:val="TableBlock"/>
              <w:numPr>
                <w:ilvl w:val="0"/>
                <w:numId w:val="8"/>
              </w:numPr>
              <w:tabs>
                <w:tab w:val="left" w:pos="624"/>
              </w:tabs>
            </w:pPr>
            <w:r>
              <w:rPr>
                <w:rFonts w:hint="cs"/>
                <w:rtl/>
              </w:rPr>
              <w:t xml:space="preserve">גובה </w:t>
            </w:r>
            <w:r w:rsidR="00EB148E">
              <w:rPr>
                <w:rFonts w:hint="cs"/>
                <w:rtl/>
              </w:rPr>
              <w:t>קנס ההפרה</w:t>
            </w:r>
            <w:r>
              <w:rPr>
                <w:rFonts w:hint="cs"/>
                <w:rtl/>
              </w:rPr>
              <w:t>, דרכי תשלומו והמועד האחרון לתשלום;</w:t>
            </w:r>
          </w:p>
        </w:tc>
      </w:tr>
      <w:tr w:rsidR="00B00EBD">
        <w:trPr>
          <w:cantSplit/>
          <w:trHeight w:val="60"/>
        </w:trPr>
        <w:tc>
          <w:tcPr>
            <w:tcW w:w="1871" w:type="dxa"/>
          </w:tcPr>
          <w:p w:rsidR="00B00EBD" w:rsidRDefault="00B00EBD">
            <w:pPr>
              <w:pStyle w:val="TableSideHeading"/>
            </w:pPr>
          </w:p>
        </w:tc>
        <w:tc>
          <w:tcPr>
            <w:tcW w:w="624" w:type="dxa"/>
          </w:tcPr>
          <w:p w:rsidR="00B00EBD" w:rsidRDefault="00B00EBD" w:rsidP="00B00EBD">
            <w:pPr>
              <w:pStyle w:val="TableText"/>
            </w:pPr>
          </w:p>
        </w:tc>
        <w:tc>
          <w:tcPr>
            <w:tcW w:w="624" w:type="dxa"/>
          </w:tcPr>
          <w:p w:rsidR="00B00EBD" w:rsidRDefault="00B00EBD">
            <w:pPr>
              <w:pStyle w:val="TableText"/>
            </w:pPr>
          </w:p>
        </w:tc>
        <w:tc>
          <w:tcPr>
            <w:tcW w:w="6522" w:type="dxa"/>
            <w:gridSpan w:val="4"/>
          </w:tcPr>
          <w:p w:rsidR="00B00EBD" w:rsidRDefault="00B00EBD" w:rsidP="00AB3999">
            <w:pPr>
              <w:pStyle w:val="TableBlock"/>
              <w:numPr>
                <w:ilvl w:val="0"/>
                <w:numId w:val="8"/>
              </w:numPr>
              <w:tabs>
                <w:tab w:val="left" w:pos="624"/>
              </w:tabs>
            </w:pPr>
            <w:r>
              <w:rPr>
                <w:rFonts w:hint="cs"/>
                <w:rtl/>
              </w:rPr>
              <w:t>מספר הנקודות שיירשמו לחובתו של המפר, ככל שרלוונטי;</w:t>
            </w:r>
          </w:p>
        </w:tc>
      </w:tr>
      <w:tr w:rsidR="00B00EBD">
        <w:trPr>
          <w:cantSplit/>
          <w:trHeight w:val="60"/>
        </w:trPr>
        <w:tc>
          <w:tcPr>
            <w:tcW w:w="1871" w:type="dxa"/>
          </w:tcPr>
          <w:p w:rsidR="00B00EBD" w:rsidRDefault="00B00EBD">
            <w:pPr>
              <w:pStyle w:val="TableSideHeading"/>
            </w:pPr>
          </w:p>
        </w:tc>
        <w:tc>
          <w:tcPr>
            <w:tcW w:w="624" w:type="dxa"/>
          </w:tcPr>
          <w:p w:rsidR="00B00EBD" w:rsidRDefault="00B00EBD" w:rsidP="00B00EBD">
            <w:pPr>
              <w:pStyle w:val="TableText"/>
            </w:pPr>
          </w:p>
        </w:tc>
        <w:tc>
          <w:tcPr>
            <w:tcW w:w="624" w:type="dxa"/>
          </w:tcPr>
          <w:p w:rsidR="00B00EBD" w:rsidRDefault="00B00EBD">
            <w:pPr>
              <w:pStyle w:val="TableText"/>
            </w:pPr>
          </w:p>
        </w:tc>
        <w:tc>
          <w:tcPr>
            <w:tcW w:w="6522" w:type="dxa"/>
            <w:gridSpan w:val="4"/>
          </w:tcPr>
          <w:p w:rsidR="00B00EBD" w:rsidRDefault="00B00EBD" w:rsidP="00AB3999">
            <w:pPr>
              <w:pStyle w:val="TableBlock"/>
              <w:numPr>
                <w:ilvl w:val="0"/>
                <w:numId w:val="8"/>
              </w:numPr>
              <w:tabs>
                <w:tab w:val="left" w:pos="624"/>
              </w:tabs>
            </w:pPr>
            <w:r>
              <w:rPr>
                <w:rFonts w:hint="cs"/>
                <w:rtl/>
              </w:rPr>
              <w:t>פירוט תמציתי של העובדות שמבססות את הפרת התעבורה, לרבות ציון המקום והזמן בהם בוצעה הפרת התעבורה;</w:t>
            </w:r>
          </w:p>
        </w:tc>
      </w:tr>
      <w:tr w:rsidR="00B00EBD">
        <w:trPr>
          <w:cantSplit/>
          <w:trHeight w:val="60"/>
        </w:trPr>
        <w:tc>
          <w:tcPr>
            <w:tcW w:w="1871" w:type="dxa"/>
          </w:tcPr>
          <w:p w:rsidR="00B00EBD" w:rsidRDefault="00B00EBD">
            <w:pPr>
              <w:pStyle w:val="TableSideHeading"/>
            </w:pPr>
          </w:p>
        </w:tc>
        <w:tc>
          <w:tcPr>
            <w:tcW w:w="624" w:type="dxa"/>
          </w:tcPr>
          <w:p w:rsidR="00B00EBD" w:rsidRDefault="00B00EBD" w:rsidP="00B00EBD">
            <w:pPr>
              <w:pStyle w:val="TableText"/>
            </w:pPr>
          </w:p>
        </w:tc>
        <w:tc>
          <w:tcPr>
            <w:tcW w:w="624" w:type="dxa"/>
          </w:tcPr>
          <w:p w:rsidR="00B00EBD" w:rsidRDefault="00B00EBD">
            <w:pPr>
              <w:pStyle w:val="TableText"/>
            </w:pPr>
          </w:p>
        </w:tc>
        <w:tc>
          <w:tcPr>
            <w:tcW w:w="6522" w:type="dxa"/>
            <w:gridSpan w:val="4"/>
          </w:tcPr>
          <w:p w:rsidR="00B00EBD" w:rsidRPr="00A4121B" w:rsidRDefault="00A4121B" w:rsidP="00A4121B">
            <w:pPr>
              <w:pStyle w:val="TableBlock"/>
              <w:numPr>
                <w:ilvl w:val="0"/>
                <w:numId w:val="8"/>
              </w:numPr>
              <w:tabs>
                <w:tab w:val="left" w:pos="624"/>
              </w:tabs>
            </w:pPr>
            <w:r w:rsidRPr="00A4121B">
              <w:rPr>
                <w:rtl/>
              </w:rPr>
              <w:t>צילום ממכשיר אכיפה המעיד על ביצוע הפרת התעבורה, אם קיים, או פירוט הדרכים לקבלת צילום כאמור, ככל שלא ניתן לצרפו להודעת התשלום; בפסקה זו, "מכשיר אכיפה" – מכשיר המשמש למטרת תיעוד של ביצוע עבירות והפרות תעבורה בלבד</w:t>
            </w:r>
            <w:r>
              <w:rPr>
                <w:rFonts w:hint="cs"/>
                <w:rtl/>
              </w:rPr>
              <w:t>;</w:t>
            </w:r>
          </w:p>
        </w:tc>
      </w:tr>
      <w:tr w:rsidR="00B00EBD">
        <w:trPr>
          <w:cantSplit/>
          <w:trHeight w:val="60"/>
        </w:trPr>
        <w:tc>
          <w:tcPr>
            <w:tcW w:w="1871" w:type="dxa"/>
          </w:tcPr>
          <w:p w:rsidR="00B00EBD" w:rsidRDefault="00B00EBD">
            <w:pPr>
              <w:pStyle w:val="TableSideHeading"/>
            </w:pPr>
          </w:p>
        </w:tc>
        <w:tc>
          <w:tcPr>
            <w:tcW w:w="624" w:type="dxa"/>
          </w:tcPr>
          <w:p w:rsidR="00B00EBD" w:rsidRDefault="00B00EBD" w:rsidP="00B00EBD">
            <w:pPr>
              <w:pStyle w:val="TableText"/>
            </w:pPr>
          </w:p>
        </w:tc>
        <w:tc>
          <w:tcPr>
            <w:tcW w:w="624" w:type="dxa"/>
          </w:tcPr>
          <w:p w:rsidR="00B00EBD" w:rsidRDefault="00B00EBD">
            <w:pPr>
              <w:pStyle w:val="TableText"/>
            </w:pPr>
          </w:p>
        </w:tc>
        <w:tc>
          <w:tcPr>
            <w:tcW w:w="6522" w:type="dxa"/>
            <w:gridSpan w:val="4"/>
          </w:tcPr>
          <w:p w:rsidR="00B00EBD" w:rsidRDefault="00B00EBD" w:rsidP="00557F25">
            <w:pPr>
              <w:pStyle w:val="TableBlock"/>
              <w:numPr>
                <w:ilvl w:val="0"/>
                <w:numId w:val="8"/>
              </w:numPr>
              <w:tabs>
                <w:tab w:val="left" w:pos="624"/>
              </w:tabs>
            </w:pPr>
            <w:r w:rsidRPr="003B1F55">
              <w:rPr>
                <w:rFonts w:hint="cs"/>
                <w:rtl/>
              </w:rPr>
              <w:t>יידוע המפר בדבר אפשרותו לשלם את קנס ה</w:t>
            </w:r>
            <w:r w:rsidR="00EB148E">
              <w:rPr>
                <w:rFonts w:hint="cs"/>
                <w:rtl/>
              </w:rPr>
              <w:t>הפרה</w:t>
            </w:r>
            <w:r w:rsidRPr="003B1F55">
              <w:rPr>
                <w:rFonts w:hint="cs"/>
                <w:rtl/>
              </w:rPr>
              <w:t>, להגיש ערר על ההחלטה</w:t>
            </w:r>
            <w:r>
              <w:rPr>
                <w:rFonts w:hint="cs"/>
                <w:rtl/>
              </w:rPr>
              <w:t>,</w:t>
            </w:r>
            <w:r w:rsidRPr="003B1F55">
              <w:rPr>
                <w:rFonts w:hint="cs"/>
                <w:rtl/>
              </w:rPr>
              <w:t xml:space="preserve"> להגיש בקשה לביטול כאמור בסעיף</w:t>
            </w:r>
            <w:r>
              <w:rPr>
                <w:rFonts w:hint="cs"/>
                <w:rtl/>
              </w:rPr>
              <w:t xml:space="preserve"> </w:t>
            </w:r>
            <w:r w:rsidR="00557F25">
              <w:rPr>
                <w:rFonts w:hint="cs"/>
                <w:rtl/>
              </w:rPr>
              <w:t>9</w:t>
            </w:r>
            <w:r>
              <w:rPr>
                <w:rFonts w:hint="cs"/>
                <w:rtl/>
              </w:rPr>
              <w:t xml:space="preserve"> לחוק</w:t>
            </w:r>
            <w:r w:rsidRPr="003B1F55">
              <w:rPr>
                <w:rFonts w:hint="cs"/>
                <w:rtl/>
              </w:rPr>
              <w:t>, בציון פרק הזמן שעומד לרשותו</w:t>
            </w:r>
            <w:r>
              <w:rPr>
                <w:rFonts w:hint="cs"/>
                <w:rtl/>
              </w:rPr>
              <w:t>,</w:t>
            </w:r>
            <w:r w:rsidRPr="003B1F55">
              <w:rPr>
                <w:rFonts w:hint="cs"/>
                <w:rtl/>
              </w:rPr>
              <w:t xml:space="preserve"> </w:t>
            </w:r>
            <w:r>
              <w:rPr>
                <w:rFonts w:hint="cs"/>
                <w:rtl/>
              </w:rPr>
              <w:t xml:space="preserve">לתשלום </w:t>
            </w:r>
            <w:r w:rsidR="00EB148E">
              <w:rPr>
                <w:rFonts w:hint="cs"/>
                <w:rtl/>
              </w:rPr>
              <w:t>קנס ההפרה</w:t>
            </w:r>
            <w:r>
              <w:rPr>
                <w:rFonts w:hint="cs"/>
                <w:rtl/>
              </w:rPr>
              <w:t xml:space="preserve">, </w:t>
            </w:r>
            <w:r w:rsidRPr="003B1F55">
              <w:rPr>
                <w:rFonts w:hint="cs"/>
                <w:rtl/>
              </w:rPr>
              <w:t>להגשת ערר או בקשה לביטול כאמור</w:t>
            </w:r>
            <w:r w:rsidR="00A4121B">
              <w:rPr>
                <w:rFonts w:hint="cs"/>
                <w:rtl/>
              </w:rPr>
              <w:t>.</w:t>
            </w:r>
          </w:p>
        </w:tc>
      </w:tr>
      <w:tr w:rsidR="00B00EBD">
        <w:trPr>
          <w:cantSplit/>
          <w:trHeight w:val="60"/>
        </w:trPr>
        <w:tc>
          <w:tcPr>
            <w:tcW w:w="1871" w:type="dxa"/>
          </w:tcPr>
          <w:p w:rsidR="00B00EBD" w:rsidRPr="00B00EBD" w:rsidRDefault="00B00EBD" w:rsidP="00B00EBD">
            <w:pPr>
              <w:pStyle w:val="TableSideHeading"/>
              <w:outlineLvl w:val="9"/>
            </w:pPr>
            <w:bookmarkStart w:id="16" w:name="_Toc75433131"/>
            <w:r w:rsidRPr="00B00EBD">
              <w:rPr>
                <w:rFonts w:hint="cs"/>
                <w:rtl/>
              </w:rPr>
              <w:t>המצאת הודעת התשלום</w:t>
            </w:r>
            <w:bookmarkEnd w:id="16"/>
          </w:p>
        </w:tc>
        <w:tc>
          <w:tcPr>
            <w:tcW w:w="624" w:type="dxa"/>
          </w:tcPr>
          <w:p w:rsidR="00B00EBD" w:rsidRDefault="00B00EBD" w:rsidP="00AB3999">
            <w:pPr>
              <w:pStyle w:val="TableText"/>
              <w:keepLines w:val="0"/>
              <w:numPr>
                <w:ilvl w:val="0"/>
                <w:numId w:val="3"/>
              </w:numPr>
            </w:pPr>
          </w:p>
        </w:tc>
        <w:tc>
          <w:tcPr>
            <w:tcW w:w="7146" w:type="dxa"/>
            <w:gridSpan w:val="5"/>
          </w:tcPr>
          <w:p w:rsidR="00B00EBD" w:rsidRPr="00C34DE2" w:rsidRDefault="00B00EBD" w:rsidP="00AB3999">
            <w:pPr>
              <w:pStyle w:val="TableBlock"/>
              <w:numPr>
                <w:ilvl w:val="0"/>
                <w:numId w:val="9"/>
              </w:numPr>
              <w:tabs>
                <w:tab w:val="left" w:pos="624"/>
              </w:tabs>
            </w:pPr>
            <w:r>
              <w:rPr>
                <w:rFonts w:hint="cs"/>
                <w:rtl/>
              </w:rPr>
              <w:t>הודעת תשלום תומצא למפר באחת מאלה:</w:t>
            </w:r>
          </w:p>
        </w:tc>
      </w:tr>
      <w:tr w:rsidR="00B00EBD">
        <w:trPr>
          <w:cantSplit/>
          <w:trHeight w:val="60"/>
        </w:trPr>
        <w:tc>
          <w:tcPr>
            <w:tcW w:w="1871" w:type="dxa"/>
          </w:tcPr>
          <w:p w:rsidR="00B00EBD" w:rsidRDefault="00B00EBD">
            <w:pPr>
              <w:pStyle w:val="TableSideHeading"/>
            </w:pPr>
          </w:p>
        </w:tc>
        <w:tc>
          <w:tcPr>
            <w:tcW w:w="624" w:type="dxa"/>
          </w:tcPr>
          <w:p w:rsidR="00B00EBD" w:rsidRDefault="00B00EBD">
            <w:pPr>
              <w:pStyle w:val="TableText"/>
            </w:pPr>
          </w:p>
        </w:tc>
        <w:tc>
          <w:tcPr>
            <w:tcW w:w="624" w:type="dxa"/>
          </w:tcPr>
          <w:p w:rsidR="00B00EBD" w:rsidRDefault="00B00EBD">
            <w:pPr>
              <w:pStyle w:val="TableText"/>
            </w:pPr>
          </w:p>
        </w:tc>
        <w:tc>
          <w:tcPr>
            <w:tcW w:w="6522" w:type="dxa"/>
            <w:gridSpan w:val="4"/>
          </w:tcPr>
          <w:p w:rsidR="00B00EBD" w:rsidRDefault="00B00EBD" w:rsidP="00AB3999">
            <w:pPr>
              <w:pStyle w:val="TableBlock"/>
              <w:numPr>
                <w:ilvl w:val="0"/>
                <w:numId w:val="10"/>
              </w:numPr>
              <w:tabs>
                <w:tab w:val="left" w:pos="624"/>
              </w:tabs>
            </w:pPr>
            <w:r>
              <w:rPr>
                <w:rFonts w:hint="cs"/>
                <w:rtl/>
              </w:rPr>
              <w:t>במסירת הודעת התשלום לידי האדם בסמוך לביצוע הפרת התעבורה;</w:t>
            </w:r>
          </w:p>
        </w:tc>
      </w:tr>
      <w:tr w:rsidR="00B00EBD">
        <w:trPr>
          <w:cantSplit/>
          <w:trHeight w:val="60"/>
        </w:trPr>
        <w:tc>
          <w:tcPr>
            <w:tcW w:w="1871" w:type="dxa"/>
          </w:tcPr>
          <w:p w:rsidR="00B00EBD" w:rsidRDefault="00B00EBD">
            <w:pPr>
              <w:pStyle w:val="TableSideHeading"/>
            </w:pPr>
          </w:p>
        </w:tc>
        <w:tc>
          <w:tcPr>
            <w:tcW w:w="624" w:type="dxa"/>
          </w:tcPr>
          <w:p w:rsidR="00B00EBD" w:rsidRDefault="00B00EBD" w:rsidP="00B00EBD">
            <w:pPr>
              <w:pStyle w:val="TableText"/>
            </w:pPr>
          </w:p>
        </w:tc>
        <w:tc>
          <w:tcPr>
            <w:tcW w:w="624" w:type="dxa"/>
          </w:tcPr>
          <w:p w:rsidR="00B00EBD" w:rsidRDefault="00B00EBD">
            <w:pPr>
              <w:pStyle w:val="TableText"/>
            </w:pPr>
          </w:p>
        </w:tc>
        <w:tc>
          <w:tcPr>
            <w:tcW w:w="6522" w:type="dxa"/>
            <w:gridSpan w:val="4"/>
          </w:tcPr>
          <w:p w:rsidR="00B00EBD" w:rsidRDefault="00B00EBD" w:rsidP="00AB3999">
            <w:pPr>
              <w:pStyle w:val="TableBlock"/>
              <w:numPr>
                <w:ilvl w:val="0"/>
                <w:numId w:val="10"/>
              </w:numPr>
              <w:tabs>
                <w:tab w:val="left" w:pos="624"/>
              </w:tabs>
              <w:rPr>
                <w:rtl/>
              </w:rPr>
            </w:pPr>
            <w:r>
              <w:rPr>
                <w:rFonts w:hint="cs"/>
                <w:rtl/>
              </w:rPr>
              <w:t xml:space="preserve">לא נמסרה הודעת תשלום כאמור בפסקה (1) </w:t>
            </w:r>
            <w:r>
              <w:rPr>
                <w:rtl/>
              </w:rPr>
              <w:t>–</w:t>
            </w:r>
            <w:r>
              <w:rPr>
                <w:rFonts w:hint="cs"/>
                <w:rtl/>
              </w:rPr>
              <w:t xml:space="preserve"> </w:t>
            </w:r>
            <w:r w:rsidRPr="007E5389">
              <w:rPr>
                <w:rtl/>
              </w:rPr>
              <w:t>במשלוח</w:t>
            </w:r>
            <w:r w:rsidRPr="00E35449">
              <w:rPr>
                <w:rFonts w:ascii="David" w:hAnsi="David"/>
                <w:color w:val="1F497D"/>
                <w:sz w:val="26"/>
                <w:rtl/>
              </w:rPr>
              <w:t xml:space="preserve"> </w:t>
            </w:r>
            <w:r w:rsidRPr="007E5389">
              <w:rPr>
                <w:rtl/>
              </w:rPr>
              <w:t>מכתב</w:t>
            </w:r>
            <w:r w:rsidRPr="00E35449">
              <w:rPr>
                <w:rFonts w:ascii="David" w:hAnsi="David"/>
                <w:color w:val="1F497D"/>
                <w:sz w:val="26"/>
                <w:rtl/>
              </w:rPr>
              <w:t xml:space="preserve"> </w:t>
            </w:r>
            <w:r w:rsidRPr="00E35449">
              <w:rPr>
                <w:rFonts w:ascii="David" w:hAnsi="David"/>
                <w:sz w:val="26"/>
                <w:rtl/>
              </w:rPr>
              <w:t xml:space="preserve">רשום לפי מענו </w:t>
            </w:r>
            <w:r w:rsidRPr="00E35449">
              <w:rPr>
                <w:rtl/>
              </w:rPr>
              <w:t>של האדם, התאגיד או חבר בני האדם;</w:t>
            </w:r>
          </w:p>
        </w:tc>
      </w:tr>
      <w:tr w:rsidR="00B00EBD">
        <w:trPr>
          <w:cantSplit/>
          <w:trHeight w:val="60"/>
        </w:trPr>
        <w:tc>
          <w:tcPr>
            <w:tcW w:w="1871" w:type="dxa"/>
          </w:tcPr>
          <w:p w:rsidR="00B00EBD" w:rsidRDefault="00B00EBD">
            <w:pPr>
              <w:pStyle w:val="TableSideHeading"/>
            </w:pPr>
          </w:p>
        </w:tc>
        <w:tc>
          <w:tcPr>
            <w:tcW w:w="624" w:type="dxa"/>
          </w:tcPr>
          <w:p w:rsidR="00B00EBD" w:rsidRDefault="00B00EBD" w:rsidP="00B00EBD">
            <w:pPr>
              <w:pStyle w:val="TableText"/>
            </w:pPr>
          </w:p>
        </w:tc>
        <w:tc>
          <w:tcPr>
            <w:tcW w:w="624" w:type="dxa"/>
          </w:tcPr>
          <w:p w:rsidR="00B00EBD" w:rsidRDefault="00B00EBD">
            <w:pPr>
              <w:pStyle w:val="TableText"/>
            </w:pPr>
          </w:p>
        </w:tc>
        <w:tc>
          <w:tcPr>
            <w:tcW w:w="6522" w:type="dxa"/>
            <w:gridSpan w:val="4"/>
          </w:tcPr>
          <w:p w:rsidR="00B00EBD" w:rsidRDefault="00B00EBD" w:rsidP="00EB148E">
            <w:pPr>
              <w:pStyle w:val="TableBlock"/>
              <w:numPr>
                <w:ilvl w:val="0"/>
                <w:numId w:val="10"/>
              </w:numPr>
              <w:tabs>
                <w:tab w:val="left" w:pos="624"/>
              </w:tabs>
              <w:rPr>
                <w:rtl/>
              </w:rPr>
            </w:pPr>
            <w:r w:rsidRPr="00E35449">
              <w:rPr>
                <w:rtl/>
              </w:rPr>
              <w:t xml:space="preserve">בהפרת תעבורה בשל העמדת רכב במקום שהעמדתו אסורה על פי חיקוק, מותר להצמיד לרכב הודעה על מעשה ההפרה עם הודעת התשלום, כשהיא מופנית אל בעל הרכב ללא ציון שמו, אלא בציון מספר הרכב בלבד; לא שולם </w:t>
            </w:r>
            <w:r w:rsidR="00EB148E">
              <w:rPr>
                <w:rFonts w:hint="cs"/>
                <w:rtl/>
              </w:rPr>
              <w:t>קנס הפרה</w:t>
            </w:r>
            <w:r w:rsidRPr="00E35449">
              <w:rPr>
                <w:rtl/>
              </w:rPr>
              <w:t xml:space="preserve"> במועד שנקבע בהודעת התשלום שהוצמדה לרכב ולא הוגשה בקשת ביטול או הוגש ערר תוך אותו מועד, תומצא לבעל הרכב הודעת</w:t>
            </w:r>
            <w:r w:rsidRPr="00E35449">
              <w:rPr>
                <w:rFonts w:ascii="David" w:hAnsi="David"/>
                <w:sz w:val="26"/>
                <w:rtl/>
              </w:rPr>
              <w:t xml:space="preserve"> תשלום חדשה</w:t>
            </w:r>
            <w:r>
              <w:rPr>
                <w:rFonts w:ascii="David" w:hAnsi="David" w:hint="cs"/>
                <w:sz w:val="26"/>
                <w:rtl/>
              </w:rPr>
              <w:t xml:space="preserve"> כאמור בפסקה (2)</w:t>
            </w:r>
            <w:r w:rsidRPr="00E35449">
              <w:rPr>
                <w:rFonts w:ascii="David" w:hAnsi="David"/>
                <w:sz w:val="26"/>
                <w:rtl/>
              </w:rPr>
              <w:t>.</w:t>
            </w:r>
          </w:p>
        </w:tc>
      </w:tr>
      <w:tr w:rsidR="00B00EBD">
        <w:trPr>
          <w:cantSplit/>
          <w:trHeight w:val="60"/>
        </w:trPr>
        <w:tc>
          <w:tcPr>
            <w:tcW w:w="1871" w:type="dxa"/>
          </w:tcPr>
          <w:p w:rsidR="00B00EBD" w:rsidRDefault="00B00EBD">
            <w:pPr>
              <w:pStyle w:val="TableSideHeading"/>
            </w:pPr>
          </w:p>
        </w:tc>
        <w:tc>
          <w:tcPr>
            <w:tcW w:w="624" w:type="dxa"/>
          </w:tcPr>
          <w:p w:rsidR="00B00EBD" w:rsidRDefault="00B00EBD">
            <w:pPr>
              <w:pStyle w:val="TableText"/>
            </w:pPr>
          </w:p>
        </w:tc>
        <w:tc>
          <w:tcPr>
            <w:tcW w:w="7146" w:type="dxa"/>
            <w:gridSpan w:val="5"/>
          </w:tcPr>
          <w:p w:rsidR="00B00EBD" w:rsidRPr="00C34DE2" w:rsidRDefault="00B00EBD" w:rsidP="00AB3999">
            <w:pPr>
              <w:pStyle w:val="TableBlock"/>
              <w:numPr>
                <w:ilvl w:val="0"/>
                <w:numId w:val="9"/>
              </w:numPr>
            </w:pPr>
            <w:r w:rsidRPr="001A1CFA">
              <w:rPr>
                <w:rtl/>
              </w:rPr>
              <w:t>הומצאה</w:t>
            </w:r>
            <w:r w:rsidRPr="001A1CFA">
              <w:rPr>
                <w:rFonts w:ascii="David" w:hAnsi="David"/>
                <w:sz w:val="26"/>
                <w:rtl/>
              </w:rPr>
              <w:t xml:space="preserve"> הודעת התשלום כאמור בפסקה (2) בסעיף קטן (</w:t>
            </w:r>
            <w:r w:rsidRPr="001A1CFA">
              <w:rPr>
                <w:rFonts w:ascii="David" w:hAnsi="David" w:hint="cs"/>
                <w:sz w:val="26"/>
                <w:rtl/>
              </w:rPr>
              <w:t>א</w:t>
            </w:r>
            <w:r w:rsidRPr="001A1CFA">
              <w:rPr>
                <w:rFonts w:ascii="David" w:hAnsi="David"/>
                <w:sz w:val="26"/>
                <w:rtl/>
              </w:rPr>
              <w:t xml:space="preserve">), יראו את הודעת התשלום כאילו הומצאה כדין אם חלפו חמישה עשר ימים מיום שנשלחה בדואר רשום, זולת אם הוכיח הנמען שלא קיבל את הודעת התשלום מסיבות שאינן תלויות בו ולא עקב הימנעותו </w:t>
            </w:r>
            <w:proofErr w:type="spellStart"/>
            <w:r w:rsidRPr="001A1CFA">
              <w:rPr>
                <w:rFonts w:ascii="David" w:hAnsi="David"/>
                <w:sz w:val="26"/>
                <w:rtl/>
              </w:rPr>
              <w:t>מלקבלה</w:t>
            </w:r>
            <w:proofErr w:type="spellEnd"/>
            <w:r w:rsidRPr="001A1CFA">
              <w:rPr>
                <w:rtl/>
              </w:rPr>
              <w:t>.</w:t>
            </w:r>
          </w:p>
        </w:tc>
      </w:tr>
      <w:tr w:rsidR="00B00EBD">
        <w:trPr>
          <w:cantSplit/>
          <w:trHeight w:val="60"/>
        </w:trPr>
        <w:tc>
          <w:tcPr>
            <w:tcW w:w="1871" w:type="dxa"/>
          </w:tcPr>
          <w:p w:rsidR="00B00EBD" w:rsidRDefault="00B00EBD" w:rsidP="00B00EBD">
            <w:pPr>
              <w:pStyle w:val="TableSideHeading"/>
              <w:keepLines w:val="0"/>
            </w:pPr>
            <w:bookmarkStart w:id="17" w:name="_Toc74773758"/>
            <w:bookmarkStart w:id="18" w:name="_Toc75433132"/>
            <w:r>
              <w:rPr>
                <w:rFonts w:hint="cs"/>
                <w:rtl/>
              </w:rPr>
              <w:t>תיקון הודעת תשלום</w:t>
            </w:r>
            <w:bookmarkEnd w:id="17"/>
            <w:bookmarkEnd w:id="18"/>
            <w:r>
              <w:rPr>
                <w:rFonts w:hint="cs"/>
                <w:rtl/>
              </w:rPr>
              <w:t xml:space="preserve"> </w:t>
            </w:r>
          </w:p>
        </w:tc>
        <w:tc>
          <w:tcPr>
            <w:tcW w:w="624" w:type="dxa"/>
          </w:tcPr>
          <w:p w:rsidR="00B00EBD" w:rsidRDefault="00B00EBD" w:rsidP="00AB3999">
            <w:pPr>
              <w:pStyle w:val="TableText"/>
              <w:keepLines w:val="0"/>
              <w:numPr>
                <w:ilvl w:val="0"/>
                <w:numId w:val="3"/>
              </w:numPr>
            </w:pPr>
          </w:p>
        </w:tc>
        <w:tc>
          <w:tcPr>
            <w:tcW w:w="7146" w:type="dxa"/>
            <w:gridSpan w:val="5"/>
          </w:tcPr>
          <w:p w:rsidR="00B00EBD" w:rsidRPr="00C34DE2" w:rsidRDefault="00B00EBD" w:rsidP="00AB3999">
            <w:pPr>
              <w:pStyle w:val="TableBlock"/>
              <w:numPr>
                <w:ilvl w:val="0"/>
                <w:numId w:val="11"/>
              </w:numPr>
              <w:tabs>
                <w:tab w:val="left" w:pos="624"/>
              </w:tabs>
            </w:pPr>
            <w:r w:rsidRPr="00FB1237">
              <w:rPr>
                <w:rtl/>
              </w:rPr>
              <w:t xml:space="preserve">תובע רשאי לתקן </w:t>
            </w:r>
            <w:r>
              <w:rPr>
                <w:rFonts w:hint="cs"/>
                <w:rtl/>
              </w:rPr>
              <w:t>הודעת תשלום</w:t>
            </w:r>
            <w:r w:rsidRPr="00FB1237">
              <w:rPr>
                <w:rtl/>
              </w:rPr>
              <w:t xml:space="preserve"> או להוציא הודע</w:t>
            </w:r>
            <w:r>
              <w:rPr>
                <w:rFonts w:hint="cs"/>
                <w:rtl/>
              </w:rPr>
              <w:t>ת תשלום</w:t>
            </w:r>
            <w:r w:rsidRPr="00FB1237">
              <w:rPr>
                <w:rtl/>
              </w:rPr>
              <w:t xml:space="preserve"> חדשה אם נוכח, כי נפלה טעות </w:t>
            </w:r>
            <w:r>
              <w:rPr>
                <w:rFonts w:hint="cs"/>
                <w:rtl/>
              </w:rPr>
              <w:t>בהודעת התשלום</w:t>
            </w:r>
            <w:r w:rsidRPr="00520305">
              <w:rPr>
                <w:rtl/>
              </w:rPr>
              <w:t xml:space="preserve"> </w:t>
            </w:r>
            <w:r w:rsidRPr="00520305">
              <w:rPr>
                <w:rFonts w:hint="cs"/>
                <w:rtl/>
              </w:rPr>
              <w:t>או</w:t>
            </w:r>
            <w:r w:rsidRPr="00520305">
              <w:rPr>
                <w:rtl/>
              </w:rPr>
              <w:t xml:space="preserve"> </w:t>
            </w:r>
            <w:r w:rsidRPr="00520305">
              <w:rPr>
                <w:rFonts w:hint="cs"/>
                <w:rtl/>
              </w:rPr>
              <w:t>שקרתה תקלה</w:t>
            </w:r>
            <w:r w:rsidRPr="00520305">
              <w:rPr>
                <w:rtl/>
              </w:rPr>
              <w:t xml:space="preserve"> </w:t>
            </w:r>
            <w:r w:rsidRPr="003E2B3D">
              <w:rPr>
                <w:rFonts w:hint="eastAsia"/>
                <w:rtl/>
              </w:rPr>
              <w:t>בנוגע</w:t>
            </w:r>
            <w:r w:rsidRPr="003E2B3D">
              <w:rPr>
                <w:rtl/>
              </w:rPr>
              <w:t xml:space="preserve"> </w:t>
            </w:r>
            <w:r w:rsidRPr="003E2B3D">
              <w:rPr>
                <w:rFonts w:hint="eastAsia"/>
                <w:rtl/>
              </w:rPr>
              <w:t>להוצאת</w:t>
            </w:r>
            <w:r w:rsidRPr="003E2B3D">
              <w:rPr>
                <w:rtl/>
              </w:rPr>
              <w:t xml:space="preserve"> </w:t>
            </w:r>
            <w:r>
              <w:rPr>
                <w:rFonts w:hint="cs"/>
                <w:rtl/>
              </w:rPr>
              <w:t>הודעת התשלום</w:t>
            </w:r>
            <w:r w:rsidRPr="003E2B3D">
              <w:rPr>
                <w:rtl/>
              </w:rPr>
              <w:t xml:space="preserve"> </w:t>
            </w:r>
            <w:r w:rsidRPr="003E2B3D">
              <w:rPr>
                <w:rFonts w:hint="eastAsia"/>
                <w:rtl/>
              </w:rPr>
              <w:t>או</w:t>
            </w:r>
            <w:r w:rsidRPr="003E2B3D">
              <w:rPr>
                <w:rtl/>
              </w:rPr>
              <w:t xml:space="preserve"> </w:t>
            </w:r>
            <w:r w:rsidRPr="003E2B3D">
              <w:rPr>
                <w:rFonts w:hint="eastAsia"/>
                <w:rtl/>
              </w:rPr>
              <w:t>המצאתה</w:t>
            </w:r>
            <w:r w:rsidRPr="00FB1237">
              <w:rPr>
                <w:rFonts w:hint="cs"/>
                <w:rtl/>
              </w:rPr>
              <w:t>.</w:t>
            </w:r>
          </w:p>
        </w:tc>
      </w:tr>
      <w:tr w:rsidR="00B00EBD">
        <w:trPr>
          <w:cantSplit/>
          <w:trHeight w:val="60"/>
        </w:trPr>
        <w:tc>
          <w:tcPr>
            <w:tcW w:w="1871" w:type="dxa"/>
          </w:tcPr>
          <w:p w:rsidR="00B00EBD" w:rsidRDefault="00B00EBD" w:rsidP="00B00EBD">
            <w:pPr>
              <w:pStyle w:val="TableSideHeading"/>
              <w:keepLines w:val="0"/>
              <w:rPr>
                <w:rtl/>
              </w:rPr>
            </w:pPr>
          </w:p>
        </w:tc>
        <w:tc>
          <w:tcPr>
            <w:tcW w:w="624" w:type="dxa"/>
          </w:tcPr>
          <w:p w:rsidR="00B00EBD" w:rsidRDefault="00B00EBD" w:rsidP="00B00EBD">
            <w:pPr>
              <w:pStyle w:val="TableText"/>
            </w:pPr>
          </w:p>
        </w:tc>
        <w:tc>
          <w:tcPr>
            <w:tcW w:w="7146" w:type="dxa"/>
            <w:gridSpan w:val="5"/>
          </w:tcPr>
          <w:p w:rsidR="00B00EBD" w:rsidRPr="00FB1237" w:rsidRDefault="00B00EBD" w:rsidP="00AB3999">
            <w:pPr>
              <w:pStyle w:val="TableBlock"/>
              <w:numPr>
                <w:ilvl w:val="0"/>
                <w:numId w:val="11"/>
              </w:numPr>
              <w:tabs>
                <w:tab w:val="left" w:pos="624"/>
              </w:tabs>
              <w:rPr>
                <w:rtl/>
              </w:rPr>
            </w:pPr>
            <w:r w:rsidRPr="00A35B0E">
              <w:rPr>
                <w:rtl/>
              </w:rPr>
              <w:t>בקשה לפי סעיף קטן (</w:t>
            </w:r>
            <w:r>
              <w:rPr>
                <w:rFonts w:hint="cs"/>
                <w:rtl/>
              </w:rPr>
              <w:t>א</w:t>
            </w:r>
            <w:r w:rsidRPr="00A35B0E">
              <w:rPr>
                <w:rtl/>
              </w:rPr>
              <w:t xml:space="preserve">), תהיה בכתב, </w:t>
            </w:r>
            <w:r>
              <w:rPr>
                <w:rFonts w:hint="cs"/>
                <w:rtl/>
              </w:rPr>
              <w:t xml:space="preserve">בצירוף המסמכים הנוגעים לעניין, ורשאי התובע לדרוש </w:t>
            </w:r>
            <w:r w:rsidRPr="00A35B0E">
              <w:rPr>
                <w:rtl/>
              </w:rPr>
              <w:t xml:space="preserve">תצהיר המאמת את העובדות המפורטות </w:t>
            </w:r>
            <w:r>
              <w:rPr>
                <w:rFonts w:hint="cs"/>
                <w:rtl/>
              </w:rPr>
              <w:t>בבקשה</w:t>
            </w:r>
            <w:r w:rsidRPr="00A35B0E">
              <w:rPr>
                <w:rtl/>
              </w:rPr>
              <w:t xml:space="preserve">. </w:t>
            </w:r>
            <w:r>
              <w:rPr>
                <w:rFonts w:hint="cs"/>
                <w:rtl/>
              </w:rPr>
              <w:t>התובע</w:t>
            </w:r>
            <w:r w:rsidRPr="00A35B0E">
              <w:rPr>
                <w:rtl/>
              </w:rPr>
              <w:t xml:space="preserve"> רשאי להחליט בבקשה על יסוד </w:t>
            </w:r>
            <w:r>
              <w:rPr>
                <w:rFonts w:hint="cs"/>
                <w:rtl/>
              </w:rPr>
              <w:t>הבקשה</w:t>
            </w:r>
            <w:r w:rsidRPr="00A35B0E">
              <w:rPr>
                <w:rtl/>
              </w:rPr>
              <w:t xml:space="preserve"> בלבד</w:t>
            </w:r>
            <w:r>
              <w:rPr>
                <w:rFonts w:ascii="Times New Roman" w:hAnsi="Times New Roman" w:cs="Times New Roman" w:hint="cs"/>
                <w:rtl/>
              </w:rPr>
              <w:t>.</w:t>
            </w:r>
          </w:p>
        </w:tc>
      </w:tr>
      <w:tr w:rsidR="00B00EBD">
        <w:trPr>
          <w:cantSplit/>
          <w:trHeight w:val="60"/>
        </w:trPr>
        <w:tc>
          <w:tcPr>
            <w:tcW w:w="1871" w:type="dxa"/>
          </w:tcPr>
          <w:p w:rsidR="00B00EBD" w:rsidRDefault="00B00EBD" w:rsidP="00B00EBD">
            <w:pPr>
              <w:pStyle w:val="TableSideHeading"/>
              <w:keepLines w:val="0"/>
            </w:pPr>
            <w:bookmarkStart w:id="19" w:name="_Toc74773759"/>
            <w:bookmarkStart w:id="20" w:name="_Toc75433133"/>
            <w:r>
              <w:rPr>
                <w:rFonts w:hint="cs"/>
                <w:rtl/>
              </w:rPr>
              <w:t>הסמכת גורם אכיפה</w:t>
            </w:r>
            <w:bookmarkEnd w:id="19"/>
            <w:r w:rsidR="00DF30C4">
              <w:rPr>
                <w:rFonts w:hint="cs"/>
                <w:rtl/>
              </w:rPr>
              <w:t xml:space="preserve"> שאינו שוטר</w:t>
            </w:r>
            <w:bookmarkEnd w:id="20"/>
          </w:p>
        </w:tc>
        <w:tc>
          <w:tcPr>
            <w:tcW w:w="624" w:type="dxa"/>
          </w:tcPr>
          <w:p w:rsidR="00B00EBD" w:rsidRDefault="00B00EBD" w:rsidP="00AB3999">
            <w:pPr>
              <w:pStyle w:val="TableText"/>
              <w:keepLines w:val="0"/>
              <w:numPr>
                <w:ilvl w:val="0"/>
                <w:numId w:val="3"/>
              </w:numPr>
            </w:pPr>
          </w:p>
        </w:tc>
        <w:tc>
          <w:tcPr>
            <w:tcW w:w="7146" w:type="dxa"/>
            <w:gridSpan w:val="5"/>
          </w:tcPr>
          <w:p w:rsidR="00B00EBD" w:rsidRPr="00C34DE2" w:rsidRDefault="00B00EBD" w:rsidP="00FE1884">
            <w:pPr>
              <w:pStyle w:val="TableBlock"/>
              <w:numPr>
                <w:ilvl w:val="0"/>
                <w:numId w:val="12"/>
              </w:numPr>
              <w:tabs>
                <w:tab w:val="left" w:pos="624"/>
              </w:tabs>
            </w:pPr>
            <w:r w:rsidRPr="00155AB1">
              <w:rPr>
                <w:rFonts w:hint="cs"/>
                <w:rtl/>
              </w:rPr>
              <w:t>פקח שהוסמך לפי סעיף 3 חוק לייעול הפיקוח והאכיפה, יראו אותו כגורם אכיפה לעניין חוק זה</w:t>
            </w:r>
            <w:r>
              <w:rPr>
                <w:rFonts w:hint="cs"/>
                <w:rtl/>
              </w:rPr>
              <w:t xml:space="preserve">, </w:t>
            </w:r>
            <w:r w:rsidR="0018303D">
              <w:rPr>
                <w:rFonts w:hint="cs"/>
                <w:rtl/>
              </w:rPr>
              <w:t>ולצורך זה</w:t>
            </w:r>
            <w:r>
              <w:rPr>
                <w:rFonts w:hint="cs"/>
                <w:rtl/>
              </w:rPr>
              <w:t xml:space="preserve"> יהיו נתונות לו הסמכויות המנויות</w:t>
            </w:r>
            <w:r w:rsidR="001C163E">
              <w:rPr>
                <w:rFonts w:hint="cs"/>
                <w:rtl/>
              </w:rPr>
              <w:t xml:space="preserve"> </w:t>
            </w:r>
            <w:r>
              <w:rPr>
                <w:rFonts w:hint="cs"/>
                <w:rtl/>
              </w:rPr>
              <w:t>ב</w:t>
            </w:r>
            <w:r w:rsidR="00CC7793">
              <w:rPr>
                <w:rFonts w:hint="cs"/>
                <w:rtl/>
              </w:rPr>
              <w:t xml:space="preserve">סעיף 4(א) </w:t>
            </w:r>
            <w:r w:rsidR="001C163E">
              <w:rPr>
                <w:rFonts w:hint="cs"/>
                <w:rtl/>
              </w:rPr>
              <w:t>ל</w:t>
            </w:r>
            <w:r>
              <w:rPr>
                <w:rFonts w:hint="cs"/>
                <w:rtl/>
              </w:rPr>
              <w:t>חוק לייעול הפיקוח והאכיפה ובהתאם לתנאים</w:t>
            </w:r>
            <w:r w:rsidR="001C163E">
              <w:rPr>
                <w:rFonts w:hint="cs"/>
                <w:rtl/>
              </w:rPr>
              <w:t xml:space="preserve">, לסייגים ולחובות </w:t>
            </w:r>
            <w:r>
              <w:rPr>
                <w:rFonts w:hint="cs"/>
                <w:rtl/>
              </w:rPr>
              <w:t>המפורטים שם</w:t>
            </w:r>
            <w:r w:rsidRPr="00155AB1">
              <w:rPr>
                <w:rFonts w:hint="cs"/>
                <w:rtl/>
              </w:rPr>
              <w:t>.</w:t>
            </w:r>
          </w:p>
        </w:tc>
      </w:tr>
      <w:tr w:rsidR="00B00EBD">
        <w:trPr>
          <w:cantSplit/>
          <w:trHeight w:val="60"/>
        </w:trPr>
        <w:tc>
          <w:tcPr>
            <w:tcW w:w="1871" w:type="dxa"/>
          </w:tcPr>
          <w:p w:rsidR="00B00EBD" w:rsidRDefault="00B00EBD" w:rsidP="000A70C2">
            <w:pPr>
              <w:pStyle w:val="TableSideHeading"/>
              <w:keepLines w:val="0"/>
              <w:rPr>
                <w:rtl/>
              </w:rPr>
            </w:pPr>
          </w:p>
        </w:tc>
        <w:tc>
          <w:tcPr>
            <w:tcW w:w="624" w:type="dxa"/>
          </w:tcPr>
          <w:p w:rsidR="00B00EBD" w:rsidRDefault="00B00EBD" w:rsidP="00B00EBD">
            <w:pPr>
              <w:pStyle w:val="TableText"/>
            </w:pPr>
          </w:p>
        </w:tc>
        <w:tc>
          <w:tcPr>
            <w:tcW w:w="7146" w:type="dxa"/>
            <w:gridSpan w:val="5"/>
          </w:tcPr>
          <w:p w:rsidR="00B47367" w:rsidRPr="00155AB1" w:rsidRDefault="00B00EBD" w:rsidP="00EB148E">
            <w:pPr>
              <w:pStyle w:val="TableBlock"/>
              <w:numPr>
                <w:ilvl w:val="0"/>
                <w:numId w:val="12"/>
              </w:numPr>
              <w:tabs>
                <w:tab w:val="left" w:pos="624"/>
              </w:tabs>
              <w:rPr>
                <w:rtl/>
              </w:rPr>
            </w:pPr>
            <w:r>
              <w:rPr>
                <w:rFonts w:hint="cs"/>
                <w:rtl/>
              </w:rPr>
              <w:t xml:space="preserve">על אף האמור בחוק זה, גורם אכיפה </w:t>
            </w:r>
            <w:r w:rsidR="00B1193D">
              <w:rPr>
                <w:rFonts w:hint="cs"/>
                <w:rtl/>
              </w:rPr>
              <w:t xml:space="preserve">שהוסמך </w:t>
            </w:r>
            <w:r>
              <w:rPr>
                <w:rFonts w:hint="cs"/>
                <w:rtl/>
              </w:rPr>
              <w:t>כאמור בסעיף קטן (א)</w:t>
            </w:r>
            <w:r w:rsidR="00616CD4">
              <w:rPr>
                <w:rFonts w:hint="cs"/>
                <w:rtl/>
              </w:rPr>
              <w:t xml:space="preserve">, </w:t>
            </w:r>
            <w:r w:rsidR="00616CD4" w:rsidRPr="00616CD4">
              <w:rPr>
                <w:rtl/>
              </w:rPr>
              <w:t xml:space="preserve">לא יעשה שימוש בסמכויות הנתונות לו לפי </w:t>
            </w:r>
            <w:r w:rsidR="00616CD4">
              <w:rPr>
                <w:rFonts w:hint="cs"/>
                <w:rtl/>
              </w:rPr>
              <w:t>החוק לייעול הפיקוח והאכיפה</w:t>
            </w:r>
            <w:r w:rsidR="00616CD4" w:rsidRPr="00616CD4">
              <w:rPr>
                <w:rtl/>
              </w:rPr>
              <w:t xml:space="preserve">, אלא לשם </w:t>
            </w:r>
            <w:r w:rsidR="00616CD4">
              <w:rPr>
                <w:rFonts w:hint="cs"/>
                <w:rtl/>
              </w:rPr>
              <w:t>קביעה</w:t>
            </w:r>
            <w:r>
              <w:rPr>
                <w:rFonts w:hint="cs"/>
                <w:rtl/>
              </w:rPr>
              <w:t xml:space="preserve"> כי בוצעה הפרת תעבורה </w:t>
            </w:r>
            <w:r w:rsidR="00616CD4">
              <w:rPr>
                <w:rFonts w:hint="cs"/>
                <w:rtl/>
              </w:rPr>
              <w:t>והוראה</w:t>
            </w:r>
            <w:r w:rsidR="00616CD4" w:rsidRPr="0026751C">
              <w:rPr>
                <w:rFonts w:hint="cs"/>
                <w:rtl/>
              </w:rPr>
              <w:t xml:space="preserve"> </w:t>
            </w:r>
            <w:r w:rsidRPr="0090145C">
              <w:rPr>
                <w:rFonts w:hint="eastAsia"/>
                <w:rtl/>
              </w:rPr>
              <w:t>על</w:t>
            </w:r>
            <w:r w:rsidRPr="0090145C">
              <w:rPr>
                <w:rtl/>
              </w:rPr>
              <w:t xml:space="preserve"> תשלום קנס </w:t>
            </w:r>
            <w:r w:rsidR="00EB148E">
              <w:rPr>
                <w:rFonts w:hint="cs"/>
                <w:rtl/>
              </w:rPr>
              <w:t>הפרה</w:t>
            </w:r>
            <w:r w:rsidR="00EB148E" w:rsidRPr="0090145C">
              <w:rPr>
                <w:rtl/>
              </w:rPr>
              <w:t xml:space="preserve"> </w:t>
            </w:r>
            <w:r>
              <w:rPr>
                <w:rFonts w:hint="cs"/>
                <w:rtl/>
              </w:rPr>
              <w:t>בגין הפרות תעבורה המנויות בתוספת השלישית בלבד</w:t>
            </w:r>
            <w:r w:rsidR="00B1193D">
              <w:rPr>
                <w:rFonts w:hint="cs"/>
                <w:rtl/>
              </w:rPr>
              <w:t>, ובהתאם לתנאים המפורטים שם</w:t>
            </w:r>
            <w:r>
              <w:rPr>
                <w:rFonts w:hint="cs"/>
                <w:rtl/>
              </w:rPr>
              <w:t>.</w:t>
            </w:r>
          </w:p>
        </w:tc>
      </w:tr>
      <w:tr w:rsidR="00B00EBD">
        <w:trPr>
          <w:cantSplit/>
          <w:trHeight w:val="60"/>
        </w:trPr>
        <w:tc>
          <w:tcPr>
            <w:tcW w:w="1871" w:type="dxa"/>
          </w:tcPr>
          <w:p w:rsidR="00B00EBD" w:rsidRDefault="00B00EBD" w:rsidP="000A70C2">
            <w:pPr>
              <w:pStyle w:val="TableSideHeading"/>
              <w:keepLines w:val="0"/>
              <w:rPr>
                <w:rtl/>
              </w:rPr>
            </w:pPr>
          </w:p>
        </w:tc>
        <w:tc>
          <w:tcPr>
            <w:tcW w:w="624" w:type="dxa"/>
          </w:tcPr>
          <w:p w:rsidR="00B00EBD" w:rsidRDefault="00B00EBD" w:rsidP="00B00EBD">
            <w:pPr>
              <w:pStyle w:val="TableText"/>
            </w:pPr>
          </w:p>
        </w:tc>
        <w:tc>
          <w:tcPr>
            <w:tcW w:w="7146" w:type="dxa"/>
            <w:gridSpan w:val="5"/>
          </w:tcPr>
          <w:p w:rsidR="00B00EBD" w:rsidRPr="00155AB1" w:rsidRDefault="00B00EBD" w:rsidP="00557F25">
            <w:pPr>
              <w:pStyle w:val="TableBlock"/>
              <w:numPr>
                <w:ilvl w:val="0"/>
                <w:numId w:val="12"/>
              </w:numPr>
              <w:tabs>
                <w:tab w:val="left" w:pos="624"/>
              </w:tabs>
              <w:rPr>
                <w:rtl/>
              </w:rPr>
            </w:pPr>
            <w:r w:rsidRPr="003B1F55">
              <w:rPr>
                <w:rtl/>
              </w:rPr>
              <w:t xml:space="preserve">שר </w:t>
            </w:r>
            <w:r>
              <w:rPr>
                <w:rFonts w:hint="cs"/>
                <w:rtl/>
              </w:rPr>
              <w:t>המשפטים</w:t>
            </w:r>
            <w:r w:rsidRPr="003B1F55">
              <w:rPr>
                <w:rtl/>
              </w:rPr>
              <w:t>,</w:t>
            </w:r>
            <w:r w:rsidR="00557F25">
              <w:rPr>
                <w:rFonts w:hint="cs"/>
                <w:rtl/>
              </w:rPr>
              <w:t xml:space="preserve"> בהסכמת</w:t>
            </w:r>
            <w:r w:rsidRPr="003B1F55">
              <w:rPr>
                <w:rtl/>
              </w:rPr>
              <w:t xml:space="preserve"> </w:t>
            </w:r>
            <w:r>
              <w:rPr>
                <w:rFonts w:hint="cs"/>
                <w:rtl/>
              </w:rPr>
              <w:t>שר הפנים ושר התחבורה והבטיחות בדרכים</w:t>
            </w:r>
            <w:r w:rsidRPr="003B1F55">
              <w:rPr>
                <w:rtl/>
              </w:rPr>
              <w:t xml:space="preserve">, </w:t>
            </w:r>
            <w:r>
              <w:rPr>
                <w:rFonts w:hint="cs"/>
                <w:rtl/>
              </w:rPr>
              <w:t xml:space="preserve">ובאישור ועדת הכלכלה של הכנסת, </w:t>
            </w:r>
            <w:r w:rsidRPr="003B1F55">
              <w:rPr>
                <w:rtl/>
              </w:rPr>
              <w:t xml:space="preserve">רשאי, בצו, לשנות את </w:t>
            </w:r>
            <w:r>
              <w:rPr>
                <w:rFonts w:hint="cs"/>
                <w:rtl/>
              </w:rPr>
              <w:t>התוספת השלישית</w:t>
            </w:r>
            <w:r w:rsidRPr="003B1F55">
              <w:rPr>
                <w:rtl/>
              </w:rPr>
              <w:t>.</w:t>
            </w:r>
          </w:p>
        </w:tc>
      </w:tr>
      <w:tr w:rsidR="00B00EBD">
        <w:trPr>
          <w:cantSplit/>
          <w:trHeight w:val="60"/>
        </w:trPr>
        <w:tc>
          <w:tcPr>
            <w:tcW w:w="1871" w:type="dxa"/>
          </w:tcPr>
          <w:p w:rsidR="00B00EBD" w:rsidRDefault="00B00EBD" w:rsidP="000A70C2">
            <w:pPr>
              <w:pStyle w:val="TableSideHeading"/>
              <w:keepLines w:val="0"/>
            </w:pPr>
            <w:bookmarkStart w:id="21" w:name="_Toc74773760"/>
            <w:bookmarkStart w:id="22" w:name="_Toc75433134"/>
            <w:r>
              <w:rPr>
                <w:rFonts w:hint="cs"/>
                <w:rtl/>
              </w:rPr>
              <w:t>תחולת הוראות</w:t>
            </w:r>
            <w:bookmarkEnd w:id="21"/>
            <w:bookmarkEnd w:id="22"/>
          </w:p>
        </w:tc>
        <w:tc>
          <w:tcPr>
            <w:tcW w:w="624" w:type="dxa"/>
          </w:tcPr>
          <w:p w:rsidR="00B00EBD" w:rsidRDefault="00B00EBD" w:rsidP="00AB3999">
            <w:pPr>
              <w:pStyle w:val="TableText"/>
              <w:keepLines w:val="0"/>
              <w:numPr>
                <w:ilvl w:val="0"/>
                <w:numId w:val="3"/>
              </w:numPr>
            </w:pPr>
          </w:p>
        </w:tc>
        <w:tc>
          <w:tcPr>
            <w:tcW w:w="7146" w:type="dxa"/>
            <w:gridSpan w:val="5"/>
          </w:tcPr>
          <w:p w:rsidR="00B00EBD" w:rsidRPr="00C34DE2" w:rsidRDefault="00B00EBD" w:rsidP="000A70C2">
            <w:pPr>
              <w:pStyle w:val="TableBlock"/>
              <w:keepLines w:val="0"/>
            </w:pPr>
            <w:r w:rsidRPr="00145EAB">
              <w:rPr>
                <w:rFonts w:hint="cs"/>
                <w:rtl/>
              </w:rPr>
              <w:t>הוראות סעיפים</w:t>
            </w:r>
            <w:r>
              <w:rPr>
                <w:rFonts w:hint="cs"/>
                <w:rtl/>
              </w:rPr>
              <w:t xml:space="preserve"> </w:t>
            </w:r>
            <w:r>
              <w:rPr>
                <w:rtl/>
              </w:rPr>
              <w:t>27, 27א,</w:t>
            </w:r>
            <w:r>
              <w:rPr>
                <w:rFonts w:hint="cs"/>
                <w:rtl/>
              </w:rPr>
              <w:t xml:space="preserve"> 27א1,</w:t>
            </w:r>
            <w:r>
              <w:rPr>
                <w:rtl/>
              </w:rPr>
              <w:t xml:space="preserve"> </w:t>
            </w:r>
            <w:r>
              <w:rPr>
                <w:rFonts w:hint="cs"/>
                <w:rtl/>
              </w:rPr>
              <w:t xml:space="preserve">27ב, </w:t>
            </w:r>
            <w:r>
              <w:rPr>
                <w:rtl/>
              </w:rPr>
              <w:t xml:space="preserve">27ג ו-27ד </w:t>
            </w:r>
            <w:r w:rsidRPr="00145EAB">
              <w:rPr>
                <w:rFonts w:hint="cs"/>
                <w:rtl/>
              </w:rPr>
              <w:t xml:space="preserve">לפקודת התעבורה יחולו </w:t>
            </w:r>
            <w:r>
              <w:rPr>
                <w:rFonts w:hint="cs"/>
                <w:rtl/>
              </w:rPr>
              <w:t xml:space="preserve">על הפרת תעבורה ועל ההליך המתנהל בפני בית דין לתעבורה, </w:t>
            </w:r>
            <w:r w:rsidRPr="00145EAB">
              <w:rPr>
                <w:rFonts w:hint="cs"/>
                <w:rtl/>
              </w:rPr>
              <w:t>בשינויים המחייבים</w:t>
            </w:r>
            <w:r>
              <w:rPr>
                <w:rFonts w:hint="cs"/>
                <w:rtl/>
              </w:rPr>
              <w:t>.</w:t>
            </w:r>
          </w:p>
        </w:tc>
      </w:tr>
      <w:tr w:rsidR="00B00EBD">
        <w:trPr>
          <w:cantSplit/>
          <w:trHeight w:val="60"/>
        </w:trPr>
        <w:tc>
          <w:tcPr>
            <w:tcW w:w="1871" w:type="dxa"/>
          </w:tcPr>
          <w:p w:rsidR="00B00EBD" w:rsidRDefault="00B00EBD">
            <w:pPr>
              <w:pStyle w:val="TableSideHeading"/>
            </w:pPr>
          </w:p>
        </w:tc>
        <w:tc>
          <w:tcPr>
            <w:tcW w:w="624" w:type="dxa"/>
          </w:tcPr>
          <w:p w:rsidR="00B00EBD" w:rsidRDefault="00B00EBD">
            <w:pPr>
              <w:pStyle w:val="TableText"/>
            </w:pPr>
          </w:p>
        </w:tc>
        <w:tc>
          <w:tcPr>
            <w:tcW w:w="7146" w:type="dxa"/>
            <w:gridSpan w:val="5"/>
          </w:tcPr>
          <w:p w:rsidR="00B00EBD" w:rsidRPr="00C34DE2" w:rsidRDefault="00B00EBD" w:rsidP="00B27B22">
            <w:pPr>
              <w:pStyle w:val="TableHead"/>
            </w:pPr>
            <w:bookmarkStart w:id="23" w:name="_Toc74773761"/>
            <w:bookmarkStart w:id="24" w:name="_Toc75433135"/>
            <w:r w:rsidRPr="009C2685">
              <w:rPr>
                <w:rFonts w:hint="cs"/>
                <w:rtl/>
              </w:rPr>
              <w:t xml:space="preserve">פרק ב': הטלת קנס </w:t>
            </w:r>
            <w:bookmarkEnd w:id="23"/>
            <w:r w:rsidR="00B27B22">
              <w:rPr>
                <w:rFonts w:hint="cs"/>
                <w:rtl/>
              </w:rPr>
              <w:t>הפרה</w:t>
            </w:r>
            <w:bookmarkEnd w:id="24"/>
          </w:p>
        </w:tc>
      </w:tr>
      <w:tr w:rsidR="00B00EBD">
        <w:trPr>
          <w:cantSplit/>
          <w:trHeight w:val="60"/>
        </w:trPr>
        <w:tc>
          <w:tcPr>
            <w:tcW w:w="1871" w:type="dxa"/>
          </w:tcPr>
          <w:p w:rsidR="00B00EBD" w:rsidRDefault="00B00EBD" w:rsidP="00B27B22">
            <w:pPr>
              <w:pStyle w:val="TableSideHeading"/>
              <w:rPr>
                <w:rtl/>
              </w:rPr>
            </w:pPr>
            <w:bookmarkStart w:id="25" w:name="_Toc74773762"/>
            <w:bookmarkStart w:id="26" w:name="_Toc75433136"/>
            <w:r>
              <w:rPr>
                <w:rFonts w:hint="cs"/>
                <w:rtl/>
              </w:rPr>
              <w:t xml:space="preserve">גובה קנס </w:t>
            </w:r>
            <w:bookmarkEnd w:id="25"/>
            <w:r w:rsidR="00B27B22">
              <w:rPr>
                <w:rFonts w:hint="cs"/>
                <w:rtl/>
              </w:rPr>
              <w:t>הפרה</w:t>
            </w:r>
            <w:bookmarkEnd w:id="26"/>
          </w:p>
          <w:p w:rsidR="00B00EBD" w:rsidRDefault="00B00EBD" w:rsidP="000A70C2">
            <w:pPr>
              <w:pStyle w:val="TableSideHeading"/>
              <w:keepLines w:val="0"/>
            </w:pPr>
          </w:p>
        </w:tc>
        <w:tc>
          <w:tcPr>
            <w:tcW w:w="624" w:type="dxa"/>
          </w:tcPr>
          <w:p w:rsidR="00B00EBD" w:rsidRDefault="00B00EBD" w:rsidP="00AB3999">
            <w:pPr>
              <w:pStyle w:val="TableText"/>
              <w:keepLines w:val="0"/>
              <w:numPr>
                <w:ilvl w:val="0"/>
                <w:numId w:val="3"/>
              </w:numPr>
            </w:pPr>
          </w:p>
        </w:tc>
        <w:tc>
          <w:tcPr>
            <w:tcW w:w="7146" w:type="dxa"/>
            <w:gridSpan w:val="5"/>
          </w:tcPr>
          <w:p w:rsidR="00B00EBD" w:rsidRPr="00FE1884" w:rsidRDefault="00B00EBD" w:rsidP="00187428">
            <w:pPr>
              <w:pStyle w:val="TableBlock"/>
              <w:numPr>
                <w:ilvl w:val="0"/>
                <w:numId w:val="13"/>
              </w:numPr>
              <w:tabs>
                <w:tab w:val="left" w:pos="624"/>
              </w:tabs>
            </w:pPr>
            <w:r w:rsidRPr="00FE1884">
              <w:rPr>
                <w:rFonts w:hint="cs"/>
                <w:rtl/>
              </w:rPr>
              <w:t xml:space="preserve">היה האדם שביצע את הפרת התעבורה עבריין תנועה מועד, </w:t>
            </w:r>
            <w:r w:rsidR="00B27B22" w:rsidRPr="00FE1884">
              <w:rPr>
                <w:rFonts w:hint="cs"/>
                <w:rtl/>
              </w:rPr>
              <w:t>קנס ההפרה</w:t>
            </w:r>
            <w:r w:rsidRPr="00FE1884">
              <w:rPr>
                <w:rFonts w:hint="cs"/>
                <w:rtl/>
              </w:rPr>
              <w:t xml:space="preserve"> יהיה בשיעור </w:t>
            </w:r>
            <w:r w:rsidRPr="00FE1884">
              <w:rPr>
                <w:rFonts w:hint="eastAsia"/>
                <w:rtl/>
              </w:rPr>
              <w:t>כפול</w:t>
            </w:r>
            <w:r w:rsidRPr="00FE1884">
              <w:rPr>
                <w:rtl/>
              </w:rPr>
              <w:t xml:space="preserve"> פי </w:t>
            </w:r>
            <w:r w:rsidRPr="00FE1884">
              <w:rPr>
                <w:rFonts w:hint="eastAsia"/>
                <w:rtl/>
              </w:rPr>
              <w:t>שניים</w:t>
            </w:r>
            <w:r w:rsidRPr="00FE1884">
              <w:rPr>
                <w:rFonts w:hint="cs"/>
                <w:rtl/>
              </w:rPr>
              <w:t xml:space="preserve"> </w:t>
            </w:r>
            <w:r w:rsidR="00B27B22" w:rsidRPr="00FE1884">
              <w:rPr>
                <w:rFonts w:hint="cs"/>
                <w:rtl/>
              </w:rPr>
              <w:t>מקנס ההפרה</w:t>
            </w:r>
            <w:r w:rsidRPr="00FE1884">
              <w:rPr>
                <w:rFonts w:hint="cs"/>
                <w:rtl/>
              </w:rPr>
              <w:t xml:space="preserve"> הקבוע לאותה הפרה בתוספת השנייה; לעניין זה, </w:t>
            </w:r>
            <w:r w:rsidRPr="00FE1884">
              <w:rPr>
                <w:rtl/>
              </w:rPr>
              <w:t xml:space="preserve">"עבריין תנועה מועד" – הפרת תעבורה </w:t>
            </w:r>
            <w:r w:rsidRPr="00FE1884">
              <w:rPr>
                <w:rFonts w:hint="cs"/>
                <w:rtl/>
              </w:rPr>
              <w:t xml:space="preserve">או עבירת תעבורה שלישית חוזרת או נוספת </w:t>
            </w:r>
            <w:r w:rsidRPr="00FE1884">
              <w:rPr>
                <w:rFonts w:hint="eastAsia"/>
                <w:rtl/>
              </w:rPr>
              <w:t>שעבר</w:t>
            </w:r>
            <w:r w:rsidRPr="00FE1884">
              <w:rPr>
                <w:rtl/>
              </w:rPr>
              <w:t xml:space="preserve"> </w:t>
            </w:r>
            <w:r w:rsidRPr="00FE1884">
              <w:rPr>
                <w:rFonts w:hint="eastAsia"/>
                <w:rtl/>
              </w:rPr>
              <w:t>אדם</w:t>
            </w:r>
            <w:r w:rsidRPr="00FE1884">
              <w:rPr>
                <w:rtl/>
              </w:rPr>
              <w:t xml:space="preserve"> </w:t>
            </w:r>
            <w:r w:rsidRPr="00FE1884">
              <w:rPr>
                <w:rFonts w:hint="eastAsia"/>
                <w:rtl/>
              </w:rPr>
              <w:t>בתוך</w:t>
            </w:r>
            <w:r w:rsidRPr="00FE1884">
              <w:rPr>
                <w:rtl/>
              </w:rPr>
              <w:t xml:space="preserve"> </w:t>
            </w:r>
            <w:r w:rsidR="00187428">
              <w:rPr>
                <w:rFonts w:hint="cs"/>
                <w:rtl/>
              </w:rPr>
              <w:t>שלוש שנים</w:t>
            </w:r>
            <w:r w:rsidRPr="00FE1884">
              <w:rPr>
                <w:rtl/>
              </w:rPr>
              <w:t xml:space="preserve">, והתקיים לגבי </w:t>
            </w:r>
            <w:r w:rsidRPr="00FE1884">
              <w:rPr>
                <w:rFonts w:hint="eastAsia"/>
                <w:rtl/>
              </w:rPr>
              <w:t>שתי</w:t>
            </w:r>
            <w:r w:rsidRPr="00FE1884">
              <w:rPr>
                <w:rtl/>
              </w:rPr>
              <w:t xml:space="preserve"> הפרות </w:t>
            </w:r>
            <w:r w:rsidRPr="00FE1884">
              <w:rPr>
                <w:rFonts w:hint="eastAsia"/>
                <w:rtl/>
              </w:rPr>
              <w:t>התעבורה</w:t>
            </w:r>
            <w:r w:rsidRPr="00FE1884">
              <w:rPr>
                <w:rFonts w:hint="cs"/>
                <w:rtl/>
              </w:rPr>
              <w:t xml:space="preserve"> או עבירות התעבורה</w:t>
            </w:r>
            <w:r w:rsidRPr="00FE1884">
              <w:rPr>
                <w:rtl/>
              </w:rPr>
              <w:t xml:space="preserve"> </w:t>
            </w:r>
            <w:r w:rsidRPr="00FE1884">
              <w:rPr>
                <w:rFonts w:hint="eastAsia"/>
                <w:rtl/>
              </w:rPr>
              <w:t>הקודמות</w:t>
            </w:r>
            <w:r w:rsidRPr="00FE1884">
              <w:rPr>
                <w:rtl/>
              </w:rPr>
              <w:t xml:space="preserve"> </w:t>
            </w:r>
            <w:r w:rsidRPr="00FE1884">
              <w:rPr>
                <w:rFonts w:hint="eastAsia"/>
                <w:rtl/>
              </w:rPr>
              <w:t>אחד</w:t>
            </w:r>
            <w:r w:rsidRPr="00FE1884">
              <w:rPr>
                <w:rtl/>
              </w:rPr>
              <w:t xml:space="preserve"> </w:t>
            </w:r>
            <w:r w:rsidRPr="00FE1884">
              <w:rPr>
                <w:rFonts w:hint="eastAsia"/>
                <w:rtl/>
              </w:rPr>
              <w:t>מאלה</w:t>
            </w:r>
            <w:r w:rsidRPr="00FE1884">
              <w:rPr>
                <w:rtl/>
              </w:rPr>
              <w:t>:</w:t>
            </w:r>
          </w:p>
        </w:tc>
      </w:tr>
      <w:tr w:rsidR="00B00EBD">
        <w:trPr>
          <w:cantSplit/>
          <w:trHeight w:val="60"/>
        </w:trPr>
        <w:tc>
          <w:tcPr>
            <w:tcW w:w="1871" w:type="dxa"/>
          </w:tcPr>
          <w:p w:rsidR="00B00EBD" w:rsidRDefault="00B00EBD">
            <w:pPr>
              <w:pStyle w:val="TableSideHeading"/>
            </w:pPr>
          </w:p>
        </w:tc>
        <w:tc>
          <w:tcPr>
            <w:tcW w:w="624" w:type="dxa"/>
          </w:tcPr>
          <w:p w:rsidR="00B00EBD" w:rsidRDefault="00B00EBD">
            <w:pPr>
              <w:pStyle w:val="TableText"/>
            </w:pPr>
          </w:p>
        </w:tc>
        <w:tc>
          <w:tcPr>
            <w:tcW w:w="624" w:type="dxa"/>
          </w:tcPr>
          <w:p w:rsidR="00B00EBD" w:rsidRDefault="00B00EBD">
            <w:pPr>
              <w:pStyle w:val="TableText"/>
            </w:pPr>
          </w:p>
        </w:tc>
        <w:tc>
          <w:tcPr>
            <w:tcW w:w="6522" w:type="dxa"/>
            <w:gridSpan w:val="4"/>
          </w:tcPr>
          <w:p w:rsidR="00B00EBD" w:rsidRDefault="00B00EBD" w:rsidP="00B27B22">
            <w:pPr>
              <w:pStyle w:val="TableBlock"/>
              <w:numPr>
                <w:ilvl w:val="0"/>
                <w:numId w:val="14"/>
              </w:numPr>
              <w:tabs>
                <w:tab w:val="left" w:pos="624"/>
              </w:tabs>
            </w:pPr>
            <w:r>
              <w:rPr>
                <w:rFonts w:hint="cs"/>
                <w:rtl/>
              </w:rPr>
              <w:t xml:space="preserve">הוא שילם בשלה </w:t>
            </w:r>
            <w:r w:rsidR="00B27B22">
              <w:rPr>
                <w:rFonts w:hint="cs"/>
                <w:rtl/>
              </w:rPr>
              <w:t>קנס הפרה</w:t>
            </w:r>
            <w:r>
              <w:rPr>
                <w:rFonts w:hint="cs"/>
                <w:rtl/>
              </w:rPr>
              <w:t xml:space="preserve"> או שקבע בית הדין לתעבורה או בית משפט שהוא ביצע את הפרת התעבורה;</w:t>
            </w:r>
          </w:p>
        </w:tc>
      </w:tr>
      <w:tr w:rsidR="00B00EBD">
        <w:trPr>
          <w:cantSplit/>
          <w:trHeight w:val="60"/>
        </w:trPr>
        <w:tc>
          <w:tcPr>
            <w:tcW w:w="1871" w:type="dxa"/>
          </w:tcPr>
          <w:p w:rsidR="00B00EBD" w:rsidRDefault="00B00EBD">
            <w:pPr>
              <w:pStyle w:val="TableSideHeading"/>
            </w:pPr>
          </w:p>
        </w:tc>
        <w:tc>
          <w:tcPr>
            <w:tcW w:w="624" w:type="dxa"/>
          </w:tcPr>
          <w:p w:rsidR="00B00EBD" w:rsidRDefault="00B00EBD" w:rsidP="00B00EBD">
            <w:pPr>
              <w:pStyle w:val="TableText"/>
            </w:pPr>
          </w:p>
        </w:tc>
        <w:tc>
          <w:tcPr>
            <w:tcW w:w="624" w:type="dxa"/>
          </w:tcPr>
          <w:p w:rsidR="00B00EBD" w:rsidRDefault="00B00EBD">
            <w:pPr>
              <w:pStyle w:val="TableText"/>
            </w:pPr>
          </w:p>
        </w:tc>
        <w:tc>
          <w:tcPr>
            <w:tcW w:w="6522" w:type="dxa"/>
            <w:gridSpan w:val="4"/>
          </w:tcPr>
          <w:p w:rsidR="00B00EBD" w:rsidRDefault="00B00EBD" w:rsidP="00AB3999">
            <w:pPr>
              <w:pStyle w:val="TableBlock"/>
              <w:numPr>
                <w:ilvl w:val="0"/>
                <w:numId w:val="14"/>
              </w:numPr>
              <w:tabs>
                <w:tab w:val="left" w:pos="624"/>
              </w:tabs>
              <w:rPr>
                <w:rtl/>
              </w:rPr>
            </w:pPr>
            <w:r>
              <w:rPr>
                <w:rFonts w:hint="cs"/>
                <w:rtl/>
              </w:rPr>
              <w:t>חלפו המועדים להגשת בקשה לביטול הקנס או להגשת ערר והוא לא הגיש בקשות כאמור או שנדחתה בקשתו לביטול הודעת התשלום.</w:t>
            </w:r>
          </w:p>
        </w:tc>
      </w:tr>
      <w:tr w:rsidR="00B00EBD">
        <w:trPr>
          <w:cantSplit/>
          <w:trHeight w:val="60"/>
        </w:trPr>
        <w:tc>
          <w:tcPr>
            <w:tcW w:w="1871" w:type="dxa"/>
          </w:tcPr>
          <w:p w:rsidR="00B00EBD" w:rsidRDefault="00B00EBD">
            <w:pPr>
              <w:pStyle w:val="TableSideHeading"/>
            </w:pPr>
          </w:p>
        </w:tc>
        <w:tc>
          <w:tcPr>
            <w:tcW w:w="624" w:type="dxa"/>
          </w:tcPr>
          <w:p w:rsidR="00B00EBD" w:rsidRDefault="00B00EBD">
            <w:pPr>
              <w:pStyle w:val="TableText"/>
            </w:pPr>
          </w:p>
        </w:tc>
        <w:tc>
          <w:tcPr>
            <w:tcW w:w="7146" w:type="dxa"/>
            <w:gridSpan w:val="5"/>
          </w:tcPr>
          <w:p w:rsidR="00B00EBD" w:rsidRPr="00C34DE2" w:rsidRDefault="00B00EBD" w:rsidP="00AB3999">
            <w:pPr>
              <w:pStyle w:val="TableBlock"/>
              <w:numPr>
                <w:ilvl w:val="0"/>
                <w:numId w:val="13"/>
              </w:numPr>
            </w:pPr>
            <w:r>
              <w:rPr>
                <w:rFonts w:hint="cs"/>
                <w:rtl/>
              </w:rPr>
              <w:t>שר התחבורה</w:t>
            </w:r>
            <w:r w:rsidR="00187428">
              <w:rPr>
                <w:rFonts w:hint="cs"/>
                <w:rtl/>
              </w:rPr>
              <w:t xml:space="preserve"> והבטיחות בדרכים</w:t>
            </w:r>
            <w:r>
              <w:rPr>
                <w:rFonts w:hint="cs"/>
                <w:rtl/>
              </w:rPr>
              <w:t xml:space="preserve"> בהסכמת השר לביטחון הפנים ושר המשפטים, יקבעו את התנאים בהם יראו אדם כעבריין תנועה מועד.</w:t>
            </w:r>
          </w:p>
        </w:tc>
      </w:tr>
      <w:tr w:rsidR="00B00EBD">
        <w:trPr>
          <w:cantSplit/>
          <w:trHeight w:val="60"/>
        </w:trPr>
        <w:tc>
          <w:tcPr>
            <w:tcW w:w="1871" w:type="dxa"/>
          </w:tcPr>
          <w:p w:rsidR="00B00EBD" w:rsidRDefault="00B00EBD">
            <w:pPr>
              <w:pStyle w:val="TableSideHeading"/>
            </w:pPr>
          </w:p>
        </w:tc>
        <w:tc>
          <w:tcPr>
            <w:tcW w:w="624" w:type="dxa"/>
          </w:tcPr>
          <w:p w:rsidR="00B00EBD" w:rsidRDefault="00B00EBD" w:rsidP="00B00EBD">
            <w:pPr>
              <w:pStyle w:val="TableText"/>
            </w:pPr>
          </w:p>
        </w:tc>
        <w:tc>
          <w:tcPr>
            <w:tcW w:w="7146" w:type="dxa"/>
            <w:gridSpan w:val="5"/>
          </w:tcPr>
          <w:p w:rsidR="00B00EBD" w:rsidRDefault="00B00EBD" w:rsidP="00EB148E">
            <w:pPr>
              <w:pStyle w:val="TableBlock"/>
              <w:numPr>
                <w:ilvl w:val="0"/>
                <w:numId w:val="13"/>
              </w:numPr>
              <w:rPr>
                <w:rtl/>
              </w:rPr>
            </w:pPr>
            <w:r w:rsidRPr="003B1F55">
              <w:rPr>
                <w:rFonts w:hint="cs"/>
                <w:rtl/>
              </w:rPr>
              <w:t xml:space="preserve">בוצעה </w:t>
            </w:r>
            <w:r w:rsidRPr="003B1F55">
              <w:rPr>
                <w:rtl/>
              </w:rPr>
              <w:t xml:space="preserve">ברכב </w:t>
            </w:r>
            <w:r w:rsidRPr="003B1F55">
              <w:rPr>
                <w:rFonts w:hint="cs"/>
                <w:rtl/>
              </w:rPr>
              <w:t>הפרת תעבורה,</w:t>
            </w:r>
            <w:r w:rsidRPr="003B1F55">
              <w:rPr>
                <w:rtl/>
              </w:rPr>
              <w:t xml:space="preserve"> ובעל הרכב או מי שהוכח כי הוא המחזיק </w:t>
            </w:r>
            <w:r w:rsidRPr="003B1F55">
              <w:rPr>
                <w:rFonts w:hint="cs"/>
                <w:rtl/>
              </w:rPr>
              <w:t>בהתאם להוראות</w:t>
            </w:r>
            <w:r w:rsidRPr="003B1F55">
              <w:rPr>
                <w:rtl/>
              </w:rPr>
              <w:t xml:space="preserve"> סעיף 27ב</w:t>
            </w:r>
            <w:r w:rsidRPr="003B1F55">
              <w:rPr>
                <w:rFonts w:hint="cs"/>
                <w:rtl/>
              </w:rPr>
              <w:t xml:space="preserve"> לפקודת התעבורה</w:t>
            </w:r>
            <w:r w:rsidRPr="003B1F55">
              <w:rPr>
                <w:rtl/>
              </w:rPr>
              <w:t xml:space="preserve">, הוא תאגיד, יהא שיעור קנס </w:t>
            </w:r>
            <w:r w:rsidR="00EB148E">
              <w:rPr>
                <w:rFonts w:hint="cs"/>
                <w:rtl/>
              </w:rPr>
              <w:t>הפרה</w:t>
            </w:r>
            <w:r w:rsidR="00EB148E" w:rsidRPr="003B1F55">
              <w:rPr>
                <w:rFonts w:hint="cs"/>
                <w:rtl/>
              </w:rPr>
              <w:t xml:space="preserve"> </w:t>
            </w:r>
            <w:r w:rsidRPr="003B1F55">
              <w:rPr>
                <w:rtl/>
              </w:rPr>
              <w:t xml:space="preserve">בשל </w:t>
            </w:r>
            <w:r w:rsidRPr="003B1F55">
              <w:rPr>
                <w:rFonts w:hint="cs"/>
                <w:rtl/>
              </w:rPr>
              <w:t>הפרת תעבורה</w:t>
            </w:r>
            <w:r w:rsidRPr="003B1F55">
              <w:rPr>
                <w:rtl/>
              </w:rPr>
              <w:t xml:space="preserve"> גבוה פי ארבעה מן השיעור שנקבע לאותה </w:t>
            </w:r>
            <w:r w:rsidRPr="003B1F55">
              <w:rPr>
                <w:rFonts w:hint="cs"/>
                <w:rtl/>
              </w:rPr>
              <w:t>הפר</w:t>
            </w:r>
            <w:r w:rsidR="00EB148E">
              <w:rPr>
                <w:rFonts w:hint="cs"/>
                <w:rtl/>
              </w:rPr>
              <w:t>ת תעבורה</w:t>
            </w:r>
            <w:r w:rsidRPr="003B1F55">
              <w:rPr>
                <w:rFonts w:hint="cs"/>
                <w:rtl/>
              </w:rPr>
              <w:t xml:space="preserve"> בתוספת </w:t>
            </w:r>
            <w:r>
              <w:rPr>
                <w:rFonts w:hint="cs"/>
                <w:rtl/>
              </w:rPr>
              <w:t>השנייה</w:t>
            </w:r>
            <w:r w:rsidRPr="003B1F55">
              <w:rPr>
                <w:rFonts w:hint="cs"/>
                <w:rtl/>
              </w:rPr>
              <w:t>,</w:t>
            </w:r>
            <w:r w:rsidRPr="003B1F55">
              <w:rPr>
                <w:rtl/>
              </w:rPr>
              <w:t xml:space="preserve"> אלא אם כן האחריות אינה חלה על תאגיד כאמור, </w:t>
            </w:r>
            <w:r w:rsidRPr="003B1F55">
              <w:rPr>
                <w:rFonts w:hint="cs"/>
                <w:rtl/>
              </w:rPr>
              <w:t xml:space="preserve">בהתאם להוראות </w:t>
            </w:r>
            <w:r w:rsidRPr="003B1F55">
              <w:rPr>
                <w:rtl/>
              </w:rPr>
              <w:t>סעיף 27ב</w:t>
            </w:r>
            <w:r w:rsidRPr="003B1F55">
              <w:rPr>
                <w:rFonts w:hint="cs"/>
                <w:rtl/>
              </w:rPr>
              <w:t xml:space="preserve"> לפקודת התעבורה</w:t>
            </w:r>
            <w:r w:rsidRPr="003B1F55">
              <w:rPr>
                <w:rtl/>
              </w:rPr>
              <w:t>.</w:t>
            </w:r>
          </w:p>
        </w:tc>
      </w:tr>
      <w:tr w:rsidR="00B00EBD">
        <w:trPr>
          <w:cantSplit/>
          <w:trHeight w:val="60"/>
        </w:trPr>
        <w:tc>
          <w:tcPr>
            <w:tcW w:w="1871" w:type="dxa"/>
          </w:tcPr>
          <w:p w:rsidR="00B00EBD" w:rsidRDefault="00B00EBD" w:rsidP="00EB148E">
            <w:pPr>
              <w:pStyle w:val="TableSideHeading"/>
              <w:keepLines w:val="0"/>
            </w:pPr>
            <w:bookmarkStart w:id="27" w:name="_Toc74773763"/>
            <w:bookmarkStart w:id="28" w:name="_Toc75433137"/>
            <w:r>
              <w:rPr>
                <w:rFonts w:hint="cs"/>
                <w:rtl/>
              </w:rPr>
              <w:t xml:space="preserve">תשלום </w:t>
            </w:r>
            <w:r w:rsidR="00EB148E">
              <w:rPr>
                <w:rFonts w:hint="cs"/>
                <w:rtl/>
              </w:rPr>
              <w:t>קנס הפרה</w:t>
            </w:r>
            <w:bookmarkEnd w:id="27"/>
            <w:bookmarkEnd w:id="28"/>
          </w:p>
        </w:tc>
        <w:tc>
          <w:tcPr>
            <w:tcW w:w="624" w:type="dxa"/>
          </w:tcPr>
          <w:p w:rsidR="00B00EBD" w:rsidRDefault="00B00EBD" w:rsidP="00AB3999">
            <w:pPr>
              <w:pStyle w:val="TableText"/>
              <w:keepLines w:val="0"/>
              <w:numPr>
                <w:ilvl w:val="0"/>
                <w:numId w:val="3"/>
              </w:numPr>
            </w:pPr>
          </w:p>
        </w:tc>
        <w:tc>
          <w:tcPr>
            <w:tcW w:w="7146" w:type="dxa"/>
            <w:gridSpan w:val="5"/>
          </w:tcPr>
          <w:p w:rsidR="00B00EBD" w:rsidRPr="00C34DE2" w:rsidRDefault="00B00EBD" w:rsidP="00EB148E">
            <w:pPr>
              <w:pStyle w:val="TableBlock"/>
              <w:numPr>
                <w:ilvl w:val="0"/>
                <w:numId w:val="15"/>
              </w:numPr>
              <w:tabs>
                <w:tab w:val="left" w:pos="624"/>
              </w:tabs>
            </w:pPr>
            <w:r>
              <w:rPr>
                <w:rFonts w:hint="cs"/>
                <w:rtl/>
              </w:rPr>
              <w:t xml:space="preserve">מי שנמסרה לו הודעת תשלום, ישלם תוך 90 ימים מיום ההמצאה את </w:t>
            </w:r>
            <w:r w:rsidR="00EB148E">
              <w:rPr>
                <w:rFonts w:hint="cs"/>
                <w:rtl/>
              </w:rPr>
              <w:t>קנס ההפרה</w:t>
            </w:r>
            <w:r>
              <w:rPr>
                <w:rFonts w:hint="cs"/>
                <w:rtl/>
              </w:rPr>
              <w:t xml:space="preserve"> הנקוב בהודעת התשלום לחשבון שצוין בה, זולת אם פעל באחת מדרכים אלה:</w:t>
            </w:r>
          </w:p>
        </w:tc>
      </w:tr>
      <w:tr w:rsidR="00B00EBD">
        <w:trPr>
          <w:cantSplit/>
          <w:trHeight w:val="60"/>
        </w:trPr>
        <w:tc>
          <w:tcPr>
            <w:tcW w:w="1871" w:type="dxa"/>
          </w:tcPr>
          <w:p w:rsidR="00B00EBD" w:rsidRDefault="00B00EBD">
            <w:pPr>
              <w:pStyle w:val="TableSideHeading"/>
            </w:pPr>
          </w:p>
        </w:tc>
        <w:tc>
          <w:tcPr>
            <w:tcW w:w="624" w:type="dxa"/>
          </w:tcPr>
          <w:p w:rsidR="00B00EBD" w:rsidRDefault="00B00EBD">
            <w:pPr>
              <w:pStyle w:val="TableText"/>
            </w:pPr>
          </w:p>
        </w:tc>
        <w:tc>
          <w:tcPr>
            <w:tcW w:w="624" w:type="dxa"/>
          </w:tcPr>
          <w:p w:rsidR="00B00EBD" w:rsidRDefault="00B00EBD">
            <w:pPr>
              <w:pStyle w:val="TableText"/>
            </w:pPr>
          </w:p>
        </w:tc>
        <w:tc>
          <w:tcPr>
            <w:tcW w:w="6522" w:type="dxa"/>
            <w:gridSpan w:val="4"/>
          </w:tcPr>
          <w:p w:rsidR="00B00EBD" w:rsidRDefault="00B00EBD" w:rsidP="00AB3999">
            <w:pPr>
              <w:pStyle w:val="TableBlock"/>
              <w:numPr>
                <w:ilvl w:val="0"/>
                <w:numId w:val="16"/>
              </w:numPr>
              <w:tabs>
                <w:tab w:val="left" w:pos="624"/>
              </w:tabs>
            </w:pPr>
            <w:r w:rsidRPr="00F21FB3">
              <w:rPr>
                <w:rFonts w:ascii="David" w:hAnsi="David"/>
                <w:rtl/>
              </w:rPr>
              <w:t xml:space="preserve">הגיש </w:t>
            </w:r>
            <w:r w:rsidRPr="00F21FB3">
              <w:rPr>
                <w:rFonts w:ascii="David" w:hAnsi="David"/>
                <w:color w:val="000000"/>
                <w:sz w:val="26"/>
                <w:rtl/>
              </w:rPr>
              <w:t>לתובע, תוך שלושים ימים מיום ההמצאה, בקשה לביטול</w:t>
            </w:r>
            <w:r w:rsidRPr="00C94394">
              <w:rPr>
                <w:rFonts w:ascii="David" w:hAnsi="David"/>
                <w:color w:val="000000"/>
                <w:sz w:val="26"/>
                <w:rtl/>
              </w:rPr>
              <w:t xml:space="preserve">; </w:t>
            </w:r>
            <w:proofErr w:type="spellStart"/>
            <w:r w:rsidRPr="00C94394">
              <w:rPr>
                <w:rFonts w:ascii="David" w:hAnsi="David"/>
                <w:color w:val="000000"/>
                <w:sz w:val="26"/>
                <w:rtl/>
              </w:rPr>
              <w:t>לענין</w:t>
            </w:r>
            <w:proofErr w:type="spellEnd"/>
            <w:r w:rsidRPr="00C94394">
              <w:rPr>
                <w:rFonts w:ascii="David" w:hAnsi="David"/>
                <w:color w:val="000000"/>
                <w:sz w:val="26"/>
                <w:rtl/>
              </w:rPr>
              <w:t xml:space="preserve"> </w:t>
            </w:r>
            <w:r>
              <w:rPr>
                <w:rFonts w:ascii="David" w:hAnsi="David" w:hint="cs"/>
                <w:color w:val="000000"/>
                <w:sz w:val="26"/>
                <w:rtl/>
              </w:rPr>
              <w:t>סעיפים 9 ו-10</w:t>
            </w:r>
            <w:r w:rsidRPr="00C94394">
              <w:rPr>
                <w:rFonts w:ascii="David" w:hAnsi="David"/>
                <w:color w:val="000000"/>
                <w:sz w:val="26"/>
                <w:rtl/>
              </w:rPr>
              <w:t>, "תובע" – כמשמעותו בסעיף 12</w:t>
            </w:r>
            <w:r>
              <w:rPr>
                <w:rFonts w:ascii="David" w:hAnsi="David" w:hint="cs"/>
                <w:color w:val="000000"/>
                <w:sz w:val="26"/>
                <w:rtl/>
              </w:rPr>
              <w:t xml:space="preserve"> לחוק סדר הדין הפלילי</w:t>
            </w:r>
            <w:r w:rsidRPr="00C94394">
              <w:rPr>
                <w:rFonts w:ascii="David" w:hAnsi="David"/>
                <w:color w:val="000000"/>
                <w:sz w:val="26"/>
                <w:rtl/>
              </w:rPr>
              <w:t xml:space="preserve">, אם הוסמך במיוחד </w:t>
            </w:r>
            <w:proofErr w:type="spellStart"/>
            <w:r w:rsidRPr="00C94394">
              <w:rPr>
                <w:rFonts w:ascii="David" w:hAnsi="David"/>
                <w:color w:val="000000"/>
                <w:sz w:val="26"/>
                <w:rtl/>
              </w:rPr>
              <w:t>לענין</w:t>
            </w:r>
            <w:proofErr w:type="spellEnd"/>
            <w:r w:rsidRPr="00C94394">
              <w:rPr>
                <w:rFonts w:ascii="David" w:hAnsi="David"/>
                <w:color w:val="000000"/>
                <w:sz w:val="26"/>
                <w:rtl/>
              </w:rPr>
              <w:t xml:space="preserve"> זה בידי היועץ המשפטי </w:t>
            </w:r>
            <w:r>
              <w:rPr>
                <w:rFonts w:ascii="David" w:hAnsi="David" w:hint="cs"/>
                <w:color w:val="000000"/>
                <w:sz w:val="26"/>
                <w:rtl/>
              </w:rPr>
              <w:t>לממשלה;</w:t>
            </w:r>
          </w:p>
        </w:tc>
      </w:tr>
      <w:tr w:rsidR="00B00EBD">
        <w:trPr>
          <w:cantSplit/>
          <w:trHeight w:val="60"/>
        </w:trPr>
        <w:tc>
          <w:tcPr>
            <w:tcW w:w="1871" w:type="dxa"/>
          </w:tcPr>
          <w:p w:rsidR="00B00EBD" w:rsidRDefault="00B00EBD">
            <w:pPr>
              <w:pStyle w:val="TableSideHeading"/>
            </w:pPr>
          </w:p>
        </w:tc>
        <w:tc>
          <w:tcPr>
            <w:tcW w:w="624" w:type="dxa"/>
          </w:tcPr>
          <w:p w:rsidR="00B00EBD" w:rsidRDefault="00B00EBD" w:rsidP="00B00EBD">
            <w:pPr>
              <w:pStyle w:val="TableText"/>
            </w:pPr>
          </w:p>
        </w:tc>
        <w:tc>
          <w:tcPr>
            <w:tcW w:w="624" w:type="dxa"/>
          </w:tcPr>
          <w:p w:rsidR="00B00EBD" w:rsidRDefault="00B00EBD">
            <w:pPr>
              <w:pStyle w:val="TableText"/>
            </w:pPr>
          </w:p>
        </w:tc>
        <w:tc>
          <w:tcPr>
            <w:tcW w:w="6522" w:type="dxa"/>
            <w:gridSpan w:val="4"/>
          </w:tcPr>
          <w:p w:rsidR="00B00EBD" w:rsidRPr="00FE1884" w:rsidRDefault="00B00EBD" w:rsidP="00AB3999">
            <w:pPr>
              <w:pStyle w:val="TableBlock"/>
              <w:numPr>
                <w:ilvl w:val="0"/>
                <w:numId w:val="16"/>
              </w:numPr>
              <w:tabs>
                <w:tab w:val="left" w:pos="624"/>
              </w:tabs>
              <w:rPr>
                <w:rFonts w:ascii="David" w:hAnsi="David"/>
                <w:rtl/>
              </w:rPr>
            </w:pPr>
            <w:r w:rsidRPr="00FE1884">
              <w:rPr>
                <w:rFonts w:ascii="David" w:hAnsi="David" w:hint="cs"/>
                <w:color w:val="000000"/>
                <w:sz w:val="26"/>
                <w:rtl/>
              </w:rPr>
              <w:t xml:space="preserve">הגיש לגורם אכיפה, </w:t>
            </w:r>
            <w:r w:rsidRPr="00FE1884">
              <w:rPr>
                <w:rFonts w:ascii="David" w:hAnsi="David"/>
                <w:color w:val="000000"/>
                <w:sz w:val="26"/>
                <w:rtl/>
              </w:rPr>
              <w:t>תוך תשעים ימים מיום ההמצאה</w:t>
            </w:r>
            <w:r w:rsidRPr="00FE1884">
              <w:rPr>
                <w:rFonts w:ascii="David" w:hAnsi="David" w:hint="cs"/>
                <w:color w:val="000000"/>
                <w:sz w:val="26"/>
                <w:rtl/>
              </w:rPr>
              <w:t xml:space="preserve">, </w:t>
            </w:r>
            <w:r w:rsidRPr="00FE1884">
              <w:rPr>
                <w:rFonts w:ascii="David" w:hAnsi="David"/>
                <w:color w:val="000000"/>
                <w:sz w:val="26"/>
                <w:rtl/>
              </w:rPr>
              <w:t xml:space="preserve">בקשה לביטול מהטעם שהעבירה בוצעה שלא בידי מי שקיבל את </w:t>
            </w:r>
            <w:r w:rsidRPr="00FE1884">
              <w:rPr>
                <w:rFonts w:ascii="David" w:hAnsi="David" w:hint="cs"/>
                <w:color w:val="000000"/>
                <w:sz w:val="26"/>
                <w:rtl/>
              </w:rPr>
              <w:t>הודעת התשלום</w:t>
            </w:r>
            <w:r w:rsidRPr="00FE1884">
              <w:rPr>
                <w:rFonts w:ascii="David" w:hAnsi="David"/>
                <w:color w:val="000000"/>
                <w:sz w:val="26"/>
                <w:rtl/>
              </w:rPr>
              <w:t xml:space="preserve">, ובעל הרכב מבקש להוכיח מי נהג ברכב, העמידו או החנהו, בעת ביצוע </w:t>
            </w:r>
            <w:r w:rsidRPr="00FE1884">
              <w:rPr>
                <w:rFonts w:ascii="David" w:hAnsi="David" w:hint="cs"/>
                <w:color w:val="000000"/>
                <w:sz w:val="26"/>
                <w:rtl/>
              </w:rPr>
              <w:t>ההפרה</w:t>
            </w:r>
            <w:r w:rsidRPr="00FE1884">
              <w:rPr>
                <w:rFonts w:ascii="David" w:hAnsi="David"/>
                <w:color w:val="000000"/>
                <w:sz w:val="26"/>
                <w:rtl/>
              </w:rPr>
              <w:t>, או למי מסר את החזקה ברכב, כאמור בסעיף 27ב לפקודת התעבורה;</w:t>
            </w:r>
          </w:p>
        </w:tc>
      </w:tr>
      <w:tr w:rsidR="00B00EBD">
        <w:trPr>
          <w:cantSplit/>
          <w:trHeight w:val="60"/>
        </w:trPr>
        <w:tc>
          <w:tcPr>
            <w:tcW w:w="1871" w:type="dxa"/>
          </w:tcPr>
          <w:p w:rsidR="00B00EBD" w:rsidRDefault="00B00EBD">
            <w:pPr>
              <w:pStyle w:val="TableSideHeading"/>
            </w:pPr>
          </w:p>
        </w:tc>
        <w:tc>
          <w:tcPr>
            <w:tcW w:w="624" w:type="dxa"/>
          </w:tcPr>
          <w:p w:rsidR="00B00EBD" w:rsidRDefault="00B00EBD" w:rsidP="00B00EBD">
            <w:pPr>
              <w:pStyle w:val="TableText"/>
            </w:pPr>
          </w:p>
        </w:tc>
        <w:tc>
          <w:tcPr>
            <w:tcW w:w="624" w:type="dxa"/>
          </w:tcPr>
          <w:p w:rsidR="00B00EBD" w:rsidRDefault="00B00EBD">
            <w:pPr>
              <w:pStyle w:val="TableText"/>
            </w:pPr>
          </w:p>
        </w:tc>
        <w:tc>
          <w:tcPr>
            <w:tcW w:w="6522" w:type="dxa"/>
            <w:gridSpan w:val="4"/>
          </w:tcPr>
          <w:p w:rsidR="00B00EBD" w:rsidRPr="00FE1884" w:rsidRDefault="00B00EBD" w:rsidP="00AB3999">
            <w:pPr>
              <w:pStyle w:val="TableBlock"/>
              <w:numPr>
                <w:ilvl w:val="0"/>
                <w:numId w:val="16"/>
              </w:numPr>
              <w:tabs>
                <w:tab w:val="left" w:pos="624"/>
              </w:tabs>
              <w:rPr>
                <w:rFonts w:ascii="David" w:hAnsi="David"/>
                <w:rtl/>
              </w:rPr>
            </w:pPr>
            <w:r w:rsidRPr="00FE1884">
              <w:rPr>
                <w:rFonts w:hint="cs"/>
                <w:rtl/>
              </w:rPr>
              <w:t>הגיש ערר לבית דין לתעבורה לפי</w:t>
            </w:r>
            <w:r w:rsidRPr="00FE1884">
              <w:rPr>
                <w:rtl/>
              </w:rPr>
              <w:t xml:space="preserve"> </w:t>
            </w:r>
            <w:r w:rsidRPr="00FE1884">
              <w:rPr>
                <w:rFonts w:hint="eastAsia"/>
                <w:rtl/>
              </w:rPr>
              <w:t>סעיף</w:t>
            </w:r>
            <w:r w:rsidRPr="00FE1884">
              <w:rPr>
                <w:rtl/>
              </w:rPr>
              <w:t xml:space="preserve"> </w:t>
            </w:r>
            <w:r w:rsidRPr="00FE1884">
              <w:rPr>
                <w:rFonts w:hint="cs"/>
                <w:rtl/>
              </w:rPr>
              <w:t>19</w:t>
            </w:r>
            <w:r w:rsidRPr="00FE1884">
              <w:rPr>
                <w:rtl/>
              </w:rPr>
              <w:t>.</w:t>
            </w:r>
          </w:p>
        </w:tc>
      </w:tr>
      <w:tr w:rsidR="00B00EBD">
        <w:trPr>
          <w:cantSplit/>
          <w:trHeight w:val="60"/>
        </w:trPr>
        <w:tc>
          <w:tcPr>
            <w:tcW w:w="1871" w:type="dxa"/>
          </w:tcPr>
          <w:p w:rsidR="00B00EBD" w:rsidRDefault="00B00EBD">
            <w:pPr>
              <w:pStyle w:val="TableSideHeading"/>
            </w:pPr>
          </w:p>
        </w:tc>
        <w:tc>
          <w:tcPr>
            <w:tcW w:w="624" w:type="dxa"/>
          </w:tcPr>
          <w:p w:rsidR="00B00EBD" w:rsidRDefault="00B00EBD">
            <w:pPr>
              <w:pStyle w:val="TableText"/>
            </w:pPr>
          </w:p>
        </w:tc>
        <w:tc>
          <w:tcPr>
            <w:tcW w:w="7146" w:type="dxa"/>
            <w:gridSpan w:val="5"/>
          </w:tcPr>
          <w:p w:rsidR="00B00EBD" w:rsidRPr="00C34DE2" w:rsidRDefault="001947FC" w:rsidP="001947FC">
            <w:pPr>
              <w:pStyle w:val="TableBlock"/>
              <w:numPr>
                <w:ilvl w:val="0"/>
                <w:numId w:val="15"/>
              </w:numPr>
            </w:pPr>
            <w:r>
              <w:rPr>
                <w:rStyle w:val="default"/>
                <w:rFonts w:hint="cs"/>
                <w:color w:val="000000"/>
                <w:sz w:val="26"/>
                <w:rtl/>
              </w:rPr>
              <w:t xml:space="preserve">הוגשה בקשה לביטול </w:t>
            </w:r>
            <w:r w:rsidR="00B00EBD" w:rsidRPr="00F5764A">
              <w:rPr>
                <w:rStyle w:val="default"/>
                <w:color w:val="000000"/>
                <w:sz w:val="26"/>
                <w:rtl/>
              </w:rPr>
              <w:t xml:space="preserve">כאמור </w:t>
            </w:r>
            <w:r w:rsidR="00B00EBD">
              <w:rPr>
                <w:rFonts w:hint="cs"/>
                <w:rtl/>
              </w:rPr>
              <w:t>בפסקאות (1) ו-(2) לסעיף קטן (א)</w:t>
            </w:r>
            <w:r>
              <w:rPr>
                <w:rStyle w:val="default"/>
                <w:rFonts w:hint="cs"/>
                <w:color w:val="000000"/>
                <w:sz w:val="26"/>
                <w:rtl/>
              </w:rPr>
              <w:t xml:space="preserve"> </w:t>
            </w:r>
            <w:r w:rsidRPr="003B1F55">
              <w:rPr>
                <w:rtl/>
              </w:rPr>
              <w:t>–</w:t>
            </w:r>
            <w:r>
              <w:rPr>
                <w:rStyle w:val="default"/>
                <w:rFonts w:hint="cs"/>
                <w:color w:val="000000"/>
                <w:sz w:val="26"/>
                <w:rtl/>
              </w:rPr>
              <w:t xml:space="preserve"> </w:t>
            </w:r>
            <w:r w:rsidR="00B00EBD" w:rsidRPr="00F5764A">
              <w:rPr>
                <w:rStyle w:val="default"/>
                <w:color w:val="000000"/>
                <w:sz w:val="26"/>
                <w:rtl/>
              </w:rPr>
              <w:t xml:space="preserve">לא </w:t>
            </w:r>
            <w:r>
              <w:rPr>
                <w:rStyle w:val="default"/>
                <w:rFonts w:hint="cs"/>
                <w:color w:val="000000"/>
                <w:sz w:val="26"/>
                <w:rtl/>
              </w:rPr>
              <w:t>יוגש</w:t>
            </w:r>
            <w:r w:rsidR="00B00EBD">
              <w:rPr>
                <w:rStyle w:val="default"/>
                <w:rFonts w:hint="cs"/>
                <w:color w:val="000000"/>
                <w:sz w:val="26"/>
                <w:rtl/>
              </w:rPr>
              <w:t xml:space="preserve"> ערר</w:t>
            </w:r>
            <w:r w:rsidR="00B00EBD" w:rsidRPr="00F5764A">
              <w:rPr>
                <w:rStyle w:val="default"/>
                <w:color w:val="000000"/>
                <w:sz w:val="26"/>
                <w:rtl/>
              </w:rPr>
              <w:t xml:space="preserve"> כאמור ב</w:t>
            </w:r>
            <w:r w:rsidR="00B00EBD">
              <w:rPr>
                <w:rStyle w:val="default"/>
                <w:rFonts w:hint="cs"/>
                <w:color w:val="000000"/>
                <w:sz w:val="26"/>
                <w:rtl/>
              </w:rPr>
              <w:t>סעיף קטן (א)</w:t>
            </w:r>
            <w:r w:rsidR="00B00EBD">
              <w:rPr>
                <w:rStyle w:val="default"/>
                <w:color w:val="000000"/>
                <w:sz w:val="26"/>
                <w:rtl/>
              </w:rPr>
              <w:t>(</w:t>
            </w:r>
            <w:r w:rsidR="00B00EBD">
              <w:rPr>
                <w:rStyle w:val="default"/>
                <w:rFonts w:hint="cs"/>
                <w:color w:val="000000"/>
                <w:sz w:val="26"/>
                <w:rtl/>
              </w:rPr>
              <w:t>3</w:t>
            </w:r>
            <w:r w:rsidR="00B00EBD" w:rsidRPr="00F5764A">
              <w:rPr>
                <w:rStyle w:val="default"/>
                <w:color w:val="000000"/>
                <w:sz w:val="26"/>
                <w:rtl/>
              </w:rPr>
              <w:t xml:space="preserve">), אלא תוך שלושים ימים מיום המצאת ההודעה על </w:t>
            </w:r>
            <w:r w:rsidR="00B00EBD">
              <w:rPr>
                <w:rStyle w:val="default"/>
                <w:rFonts w:hint="cs"/>
                <w:color w:val="000000"/>
                <w:sz w:val="26"/>
                <w:rtl/>
              </w:rPr>
              <w:t>ההחלטה בבקשה לביטול</w:t>
            </w:r>
            <w:r w:rsidR="00B00EBD">
              <w:rPr>
                <w:rFonts w:ascii="David" w:hAnsi="David" w:hint="cs"/>
                <w:rtl/>
              </w:rPr>
              <w:t>.</w:t>
            </w:r>
          </w:p>
        </w:tc>
      </w:tr>
      <w:tr w:rsidR="00B00EBD">
        <w:trPr>
          <w:cantSplit/>
          <w:trHeight w:val="60"/>
        </w:trPr>
        <w:tc>
          <w:tcPr>
            <w:tcW w:w="1871" w:type="dxa"/>
          </w:tcPr>
          <w:p w:rsidR="00B00EBD" w:rsidRDefault="00B00EBD">
            <w:pPr>
              <w:pStyle w:val="TableSideHeading"/>
            </w:pPr>
          </w:p>
        </w:tc>
        <w:tc>
          <w:tcPr>
            <w:tcW w:w="624" w:type="dxa"/>
          </w:tcPr>
          <w:p w:rsidR="00B00EBD" w:rsidRDefault="00B00EBD" w:rsidP="00B00EBD">
            <w:pPr>
              <w:pStyle w:val="TableText"/>
            </w:pPr>
          </w:p>
        </w:tc>
        <w:tc>
          <w:tcPr>
            <w:tcW w:w="7146" w:type="dxa"/>
            <w:gridSpan w:val="5"/>
          </w:tcPr>
          <w:p w:rsidR="00B00EBD" w:rsidRPr="00F5764A" w:rsidRDefault="00B00EBD" w:rsidP="00AB3999">
            <w:pPr>
              <w:pStyle w:val="TableBlock"/>
              <w:numPr>
                <w:ilvl w:val="0"/>
                <w:numId w:val="15"/>
              </w:numPr>
              <w:rPr>
                <w:rStyle w:val="default"/>
                <w:rFonts w:ascii="David" w:hAnsi="David"/>
                <w:color w:val="000000"/>
                <w:sz w:val="26"/>
                <w:rtl/>
              </w:rPr>
            </w:pPr>
            <w:r w:rsidRPr="003B1F55">
              <w:rPr>
                <w:rFonts w:hint="cs"/>
                <w:rtl/>
              </w:rPr>
              <w:t xml:space="preserve">הוגש ערר </w:t>
            </w:r>
            <w:r>
              <w:rPr>
                <w:rFonts w:hint="cs"/>
                <w:rtl/>
              </w:rPr>
              <w:t xml:space="preserve">כאמור בסעיף קטן (א)(3) </w:t>
            </w:r>
            <w:r w:rsidRPr="003B1F55">
              <w:rPr>
                <w:rtl/>
              </w:rPr>
              <w:t>–</w:t>
            </w:r>
            <w:r w:rsidRPr="003B1F55">
              <w:rPr>
                <w:rFonts w:hint="cs"/>
                <w:rtl/>
              </w:rPr>
              <w:t xml:space="preserve"> לא תוגש עוד </w:t>
            </w:r>
            <w:r>
              <w:rPr>
                <w:rStyle w:val="default"/>
                <w:rFonts w:hint="cs"/>
                <w:color w:val="000000"/>
                <w:sz w:val="26"/>
                <w:rtl/>
              </w:rPr>
              <w:t>בקשה לביטול</w:t>
            </w:r>
            <w:r w:rsidRPr="003B1F55" w:rsidDel="00B72537">
              <w:rPr>
                <w:rFonts w:hint="cs"/>
                <w:rtl/>
              </w:rPr>
              <w:t xml:space="preserve"> </w:t>
            </w:r>
            <w:r w:rsidRPr="003B1F55">
              <w:rPr>
                <w:rFonts w:hint="cs"/>
                <w:rtl/>
              </w:rPr>
              <w:t xml:space="preserve">כאמור </w:t>
            </w:r>
            <w:r>
              <w:rPr>
                <w:rFonts w:hint="cs"/>
                <w:rtl/>
              </w:rPr>
              <w:t>בפסקאות (1) ו-(2) לסעיף קטן (א).</w:t>
            </w:r>
          </w:p>
        </w:tc>
      </w:tr>
      <w:tr w:rsidR="00B00EBD">
        <w:trPr>
          <w:cantSplit/>
          <w:trHeight w:val="60"/>
        </w:trPr>
        <w:tc>
          <w:tcPr>
            <w:tcW w:w="1871" w:type="dxa"/>
          </w:tcPr>
          <w:p w:rsidR="00B00EBD" w:rsidRDefault="00B00EBD">
            <w:pPr>
              <w:pStyle w:val="TableSideHeading"/>
            </w:pPr>
          </w:p>
        </w:tc>
        <w:tc>
          <w:tcPr>
            <w:tcW w:w="624" w:type="dxa"/>
          </w:tcPr>
          <w:p w:rsidR="00B00EBD" w:rsidRDefault="00B00EBD" w:rsidP="00B00EBD">
            <w:pPr>
              <w:pStyle w:val="TableText"/>
            </w:pPr>
          </w:p>
        </w:tc>
        <w:tc>
          <w:tcPr>
            <w:tcW w:w="7146" w:type="dxa"/>
            <w:gridSpan w:val="5"/>
          </w:tcPr>
          <w:p w:rsidR="00B00EBD" w:rsidRPr="003B1F55" w:rsidRDefault="00B00EBD" w:rsidP="00EB148E">
            <w:pPr>
              <w:pStyle w:val="TableBlock"/>
              <w:numPr>
                <w:ilvl w:val="0"/>
                <w:numId w:val="15"/>
              </w:numPr>
              <w:rPr>
                <w:rtl/>
              </w:rPr>
            </w:pPr>
            <w:r w:rsidRPr="004923AD">
              <w:rPr>
                <w:rtl/>
              </w:rPr>
              <w:t xml:space="preserve">שילם אדם את </w:t>
            </w:r>
            <w:r w:rsidR="00EB148E">
              <w:rPr>
                <w:rFonts w:hint="cs"/>
                <w:rtl/>
              </w:rPr>
              <w:t>קנס ההפרה</w:t>
            </w:r>
            <w:r>
              <w:rPr>
                <w:rFonts w:hint="cs"/>
                <w:rtl/>
              </w:rPr>
              <w:t xml:space="preserve"> </w:t>
            </w:r>
            <w:r w:rsidRPr="004923AD">
              <w:rPr>
                <w:rtl/>
              </w:rPr>
              <w:t xml:space="preserve">רואים אותו כאילו הודה </w:t>
            </w:r>
            <w:r>
              <w:rPr>
                <w:rFonts w:hint="cs"/>
                <w:rtl/>
              </w:rPr>
              <w:t>בביצוע</w:t>
            </w:r>
            <w:r w:rsidRPr="004923AD">
              <w:rPr>
                <w:rtl/>
              </w:rPr>
              <w:t xml:space="preserve"> </w:t>
            </w:r>
            <w:r>
              <w:rPr>
                <w:rFonts w:hint="cs"/>
                <w:rtl/>
              </w:rPr>
              <w:t>הפרת התעבורה</w:t>
            </w:r>
            <w:r w:rsidRPr="004923AD">
              <w:rPr>
                <w:rtl/>
              </w:rPr>
              <w:t>.</w:t>
            </w:r>
            <w:r>
              <w:rPr>
                <w:rFonts w:hint="cs"/>
                <w:rtl/>
              </w:rPr>
              <w:t xml:space="preserve"> </w:t>
            </w:r>
            <w:r w:rsidRPr="0084689B">
              <w:rPr>
                <w:rFonts w:ascii="David" w:hAnsi="David"/>
                <w:rtl/>
              </w:rPr>
              <w:t>אול</w:t>
            </w:r>
            <w:r w:rsidRPr="0084689B">
              <w:rPr>
                <w:rFonts w:ascii="David" w:hAnsi="David"/>
                <w:color w:val="000000"/>
                <w:sz w:val="26"/>
                <w:rtl/>
              </w:rPr>
              <w:t xml:space="preserve">ם הוראות סעיף קטן זה </w:t>
            </w:r>
            <w:r w:rsidRPr="00FE1884">
              <w:rPr>
                <w:rFonts w:ascii="David" w:hAnsi="David"/>
                <w:color w:val="000000"/>
                <w:sz w:val="26"/>
                <w:rtl/>
              </w:rPr>
              <w:t xml:space="preserve">לא יחולו על אדם ששילם את קנס </w:t>
            </w:r>
            <w:r w:rsidR="00EB148E" w:rsidRPr="00FE1884">
              <w:rPr>
                <w:rFonts w:ascii="David" w:hAnsi="David" w:hint="cs"/>
                <w:color w:val="000000"/>
                <w:sz w:val="26"/>
                <w:rtl/>
              </w:rPr>
              <w:t xml:space="preserve">ההפרה </w:t>
            </w:r>
            <w:r w:rsidRPr="00FE1884">
              <w:rPr>
                <w:rFonts w:ascii="David" w:hAnsi="David" w:hint="cs"/>
                <w:color w:val="000000"/>
                <w:sz w:val="26"/>
                <w:rtl/>
              </w:rPr>
              <w:t>ובוטלה</w:t>
            </w:r>
            <w:r w:rsidRPr="00FE1884">
              <w:rPr>
                <w:rFonts w:ascii="David" w:hAnsi="David"/>
                <w:color w:val="000000"/>
                <w:sz w:val="26"/>
                <w:rtl/>
              </w:rPr>
              <w:t xml:space="preserve"> </w:t>
            </w:r>
            <w:r w:rsidRPr="00FE1884">
              <w:rPr>
                <w:rFonts w:ascii="David" w:hAnsi="David" w:hint="cs"/>
                <w:color w:val="000000"/>
                <w:sz w:val="26"/>
                <w:rtl/>
              </w:rPr>
              <w:t>ההחלטה בהתאם</w:t>
            </w:r>
            <w:r w:rsidRPr="00FE1884">
              <w:rPr>
                <w:rFonts w:ascii="David" w:hAnsi="David"/>
                <w:color w:val="000000"/>
                <w:sz w:val="26"/>
                <w:rtl/>
              </w:rPr>
              <w:t xml:space="preserve"> </w:t>
            </w:r>
            <w:r w:rsidRPr="00FE1884">
              <w:rPr>
                <w:rFonts w:ascii="David" w:hAnsi="David" w:hint="cs"/>
                <w:color w:val="000000"/>
                <w:sz w:val="26"/>
                <w:rtl/>
              </w:rPr>
              <w:t xml:space="preserve">לפסקאות (1) ו-(2) לסעיף קטן (א) </w:t>
            </w:r>
            <w:r w:rsidRPr="00FE1884">
              <w:rPr>
                <w:rFonts w:ascii="David" w:hAnsi="David"/>
                <w:color w:val="000000"/>
                <w:sz w:val="26"/>
                <w:rtl/>
              </w:rPr>
              <w:t>או על אדם ש</w:t>
            </w:r>
            <w:r w:rsidRPr="00FE1884">
              <w:rPr>
                <w:rFonts w:ascii="David" w:hAnsi="David" w:hint="cs"/>
                <w:color w:val="000000"/>
                <w:sz w:val="26"/>
                <w:rtl/>
              </w:rPr>
              <w:t>הגיש ערר ל</w:t>
            </w:r>
            <w:r w:rsidRPr="00FE1884">
              <w:rPr>
                <w:rFonts w:ascii="David" w:hAnsi="David"/>
                <w:color w:val="000000"/>
                <w:sz w:val="26"/>
                <w:rtl/>
              </w:rPr>
              <w:t xml:space="preserve">בית </w:t>
            </w:r>
            <w:r w:rsidRPr="00FE1884">
              <w:rPr>
                <w:rFonts w:ascii="David" w:hAnsi="David" w:hint="cs"/>
                <w:color w:val="000000"/>
                <w:sz w:val="26"/>
                <w:rtl/>
              </w:rPr>
              <w:t>דין לתעבורה</w:t>
            </w:r>
            <w:r w:rsidRPr="00FE1884">
              <w:rPr>
                <w:rFonts w:ascii="David" w:hAnsi="David"/>
                <w:color w:val="000000"/>
                <w:sz w:val="26"/>
                <w:rtl/>
              </w:rPr>
              <w:t xml:space="preserve"> </w:t>
            </w:r>
            <w:r w:rsidRPr="00FE1884">
              <w:rPr>
                <w:rFonts w:ascii="David" w:hAnsi="David" w:hint="cs"/>
                <w:color w:val="000000"/>
                <w:sz w:val="26"/>
                <w:rtl/>
              </w:rPr>
              <w:t xml:space="preserve">לפי </w:t>
            </w:r>
            <w:r w:rsidRPr="00FE1884">
              <w:rPr>
                <w:rFonts w:ascii="David" w:hAnsi="David" w:hint="eastAsia"/>
                <w:color w:val="000000"/>
                <w:sz w:val="26"/>
                <w:rtl/>
              </w:rPr>
              <w:t>סעיף</w:t>
            </w:r>
            <w:r w:rsidRPr="00FE1884">
              <w:rPr>
                <w:rFonts w:ascii="David" w:hAnsi="David"/>
                <w:color w:val="000000"/>
                <w:sz w:val="26"/>
                <w:rtl/>
              </w:rPr>
              <w:t xml:space="preserve"> </w:t>
            </w:r>
            <w:r w:rsidRPr="00FE1884">
              <w:rPr>
                <w:rFonts w:ascii="David" w:hAnsi="David" w:hint="cs"/>
                <w:color w:val="000000"/>
                <w:sz w:val="26"/>
                <w:rtl/>
              </w:rPr>
              <w:t>19</w:t>
            </w:r>
            <w:r w:rsidRPr="00FE1884">
              <w:rPr>
                <w:rFonts w:ascii="David" w:hAnsi="David"/>
                <w:color w:val="000000"/>
                <w:sz w:val="26"/>
                <w:rtl/>
              </w:rPr>
              <w:t>,</w:t>
            </w:r>
            <w:r w:rsidRPr="00FE1884">
              <w:rPr>
                <w:rFonts w:ascii="David" w:hAnsi="David" w:hint="cs"/>
                <w:color w:val="000000"/>
                <w:sz w:val="26"/>
                <w:rtl/>
              </w:rPr>
              <w:t xml:space="preserve"> לרבות ככל שבית הדין לתעבורה </w:t>
            </w:r>
            <w:r w:rsidRPr="00FE1884">
              <w:rPr>
                <w:rFonts w:ascii="David" w:hAnsi="David"/>
                <w:color w:val="000000"/>
                <w:sz w:val="26"/>
                <w:rtl/>
              </w:rPr>
              <w:t xml:space="preserve">החליט </w:t>
            </w:r>
            <w:r w:rsidRPr="00FE1884">
              <w:rPr>
                <w:rFonts w:ascii="David" w:hAnsi="David" w:hint="cs"/>
                <w:color w:val="000000"/>
                <w:sz w:val="26"/>
                <w:rtl/>
              </w:rPr>
              <w:t xml:space="preserve">להאריך את המועד להגשת עררו לפי </w:t>
            </w:r>
            <w:r w:rsidRPr="00FE1884">
              <w:rPr>
                <w:rFonts w:ascii="David" w:hAnsi="David" w:hint="eastAsia"/>
                <w:color w:val="000000"/>
                <w:sz w:val="26"/>
                <w:rtl/>
              </w:rPr>
              <w:t>סעיף</w:t>
            </w:r>
            <w:r w:rsidRPr="00FE1884">
              <w:rPr>
                <w:rFonts w:ascii="David" w:hAnsi="David"/>
                <w:color w:val="000000"/>
                <w:sz w:val="26"/>
                <w:rtl/>
              </w:rPr>
              <w:t xml:space="preserve"> </w:t>
            </w:r>
            <w:r w:rsidRPr="00FE1884">
              <w:rPr>
                <w:rFonts w:ascii="David" w:hAnsi="David" w:hint="cs"/>
                <w:color w:val="000000"/>
                <w:sz w:val="26"/>
                <w:rtl/>
              </w:rPr>
              <w:t>19</w:t>
            </w:r>
            <w:r w:rsidRPr="00FE1884">
              <w:rPr>
                <w:rFonts w:ascii="David" w:hAnsi="David"/>
                <w:color w:val="000000"/>
                <w:sz w:val="26"/>
                <w:rtl/>
              </w:rPr>
              <w:t>(</w:t>
            </w:r>
            <w:r w:rsidRPr="00FE1884">
              <w:rPr>
                <w:rFonts w:hint="eastAsia"/>
                <w:rtl/>
              </w:rPr>
              <w:t>ג</w:t>
            </w:r>
            <w:r w:rsidRPr="00FE1884">
              <w:rPr>
                <w:rtl/>
              </w:rPr>
              <w:t>).</w:t>
            </w:r>
          </w:p>
        </w:tc>
      </w:tr>
      <w:tr w:rsidR="00B00EBD">
        <w:trPr>
          <w:cantSplit/>
          <w:trHeight w:val="60"/>
        </w:trPr>
        <w:tc>
          <w:tcPr>
            <w:tcW w:w="1871" w:type="dxa"/>
          </w:tcPr>
          <w:p w:rsidR="00B00EBD" w:rsidRDefault="00B00EBD">
            <w:pPr>
              <w:pStyle w:val="TableSideHeading"/>
            </w:pPr>
          </w:p>
        </w:tc>
        <w:tc>
          <w:tcPr>
            <w:tcW w:w="624" w:type="dxa"/>
          </w:tcPr>
          <w:p w:rsidR="00B00EBD" w:rsidRDefault="00B00EBD" w:rsidP="00B00EBD">
            <w:pPr>
              <w:pStyle w:val="TableText"/>
            </w:pPr>
          </w:p>
        </w:tc>
        <w:tc>
          <w:tcPr>
            <w:tcW w:w="7146" w:type="dxa"/>
            <w:gridSpan w:val="5"/>
          </w:tcPr>
          <w:p w:rsidR="00B00EBD" w:rsidRPr="003B1F55" w:rsidRDefault="00B00EBD" w:rsidP="00EB148E">
            <w:pPr>
              <w:pStyle w:val="TableBlock"/>
              <w:numPr>
                <w:ilvl w:val="0"/>
                <w:numId w:val="15"/>
              </w:numPr>
              <w:rPr>
                <w:rtl/>
              </w:rPr>
            </w:pPr>
            <w:r w:rsidRPr="00F70779">
              <w:rPr>
                <w:rFonts w:ascii="David" w:hAnsi="David"/>
                <w:color w:val="000000"/>
                <w:sz w:val="26"/>
                <w:rtl/>
              </w:rPr>
              <w:t xml:space="preserve">בוטלה </w:t>
            </w:r>
            <w:r>
              <w:rPr>
                <w:rFonts w:ascii="David" w:hAnsi="David" w:hint="cs"/>
                <w:color w:val="000000"/>
                <w:sz w:val="26"/>
                <w:rtl/>
              </w:rPr>
              <w:t xml:space="preserve">ההחלטה </w:t>
            </w:r>
            <w:r w:rsidRPr="00F70779">
              <w:rPr>
                <w:rFonts w:ascii="David" w:hAnsi="David"/>
                <w:color w:val="000000"/>
                <w:sz w:val="26"/>
                <w:rtl/>
              </w:rPr>
              <w:t xml:space="preserve">לאחר </w:t>
            </w:r>
            <w:r w:rsidR="00EB148E">
              <w:rPr>
                <w:rFonts w:ascii="David" w:hAnsi="David" w:hint="cs"/>
                <w:color w:val="000000"/>
                <w:sz w:val="26"/>
                <w:rtl/>
              </w:rPr>
              <w:t>שקנס ההפרה</w:t>
            </w:r>
            <w:r w:rsidRPr="00F70779">
              <w:rPr>
                <w:rFonts w:ascii="David" w:hAnsi="David" w:hint="cs"/>
                <w:color w:val="000000"/>
                <w:sz w:val="26"/>
                <w:rtl/>
              </w:rPr>
              <w:t xml:space="preserve"> </w:t>
            </w:r>
            <w:r w:rsidRPr="00F70779">
              <w:rPr>
                <w:rFonts w:ascii="David" w:hAnsi="David"/>
                <w:color w:val="000000"/>
                <w:sz w:val="26"/>
                <w:rtl/>
              </w:rPr>
              <w:t>שולם</w:t>
            </w:r>
            <w:r>
              <w:rPr>
                <w:rFonts w:ascii="David" w:hAnsi="David" w:hint="cs"/>
                <w:color w:val="000000"/>
                <w:sz w:val="26"/>
                <w:rtl/>
              </w:rPr>
              <w:t xml:space="preserve"> </w:t>
            </w:r>
            <w:r w:rsidR="00B726BA">
              <w:rPr>
                <w:rFonts w:ascii="David" w:hAnsi="David" w:hint="cs"/>
                <w:color w:val="000000"/>
                <w:sz w:val="26"/>
                <w:rtl/>
              </w:rPr>
              <w:t xml:space="preserve">בהתאם לסעיף קטן (א) פסקאות (1) ו-(2) או על-ידי </w:t>
            </w:r>
            <w:r>
              <w:rPr>
                <w:rFonts w:hint="cs"/>
                <w:rtl/>
              </w:rPr>
              <w:t>בית דין לתעבורה או בית משפט</w:t>
            </w:r>
            <w:r w:rsidRPr="00934FAF">
              <w:rPr>
                <w:rFonts w:hint="cs"/>
                <w:rtl/>
              </w:rPr>
              <w:t xml:space="preserve">, </w:t>
            </w:r>
            <w:r w:rsidRPr="00F70779">
              <w:rPr>
                <w:rFonts w:ascii="David" w:hAnsi="David"/>
                <w:color w:val="000000"/>
                <w:sz w:val="26"/>
                <w:rtl/>
              </w:rPr>
              <w:t xml:space="preserve">יוחזר סכום </w:t>
            </w:r>
            <w:r w:rsidR="00EB148E">
              <w:rPr>
                <w:rFonts w:ascii="David" w:hAnsi="David" w:hint="cs"/>
                <w:color w:val="000000"/>
                <w:sz w:val="26"/>
                <w:rtl/>
              </w:rPr>
              <w:t>קנס ההפרה</w:t>
            </w:r>
            <w:r w:rsidR="00BD14EC">
              <w:rPr>
                <w:rFonts w:ascii="David" w:hAnsi="David" w:hint="cs"/>
                <w:color w:val="000000"/>
                <w:sz w:val="26"/>
                <w:rtl/>
              </w:rPr>
              <w:t xml:space="preserve"> ששולם.</w:t>
            </w:r>
          </w:p>
        </w:tc>
      </w:tr>
      <w:tr w:rsidR="00B00EBD">
        <w:trPr>
          <w:cantSplit/>
          <w:trHeight w:val="60"/>
        </w:trPr>
        <w:tc>
          <w:tcPr>
            <w:tcW w:w="1871" w:type="dxa"/>
          </w:tcPr>
          <w:p w:rsidR="00B00EBD" w:rsidRDefault="00B00EBD">
            <w:pPr>
              <w:pStyle w:val="TableSideHeading"/>
            </w:pPr>
          </w:p>
        </w:tc>
        <w:tc>
          <w:tcPr>
            <w:tcW w:w="624" w:type="dxa"/>
          </w:tcPr>
          <w:p w:rsidR="00B00EBD" w:rsidRDefault="00B00EBD" w:rsidP="00B00EBD">
            <w:pPr>
              <w:pStyle w:val="TableText"/>
            </w:pPr>
          </w:p>
        </w:tc>
        <w:tc>
          <w:tcPr>
            <w:tcW w:w="7146" w:type="dxa"/>
            <w:gridSpan w:val="5"/>
          </w:tcPr>
          <w:p w:rsidR="00B00EBD" w:rsidRPr="00FE1884" w:rsidRDefault="00B00EBD" w:rsidP="00EB148E">
            <w:pPr>
              <w:pStyle w:val="TableBlock"/>
              <w:numPr>
                <w:ilvl w:val="0"/>
                <w:numId w:val="15"/>
              </w:numPr>
              <w:rPr>
                <w:rFonts w:ascii="David" w:hAnsi="David"/>
                <w:color w:val="000000"/>
                <w:sz w:val="26"/>
                <w:rtl/>
              </w:rPr>
            </w:pPr>
            <w:r w:rsidRPr="00FE1884">
              <w:rPr>
                <w:rtl/>
              </w:rPr>
              <w:t xml:space="preserve">לא שילם אדם את </w:t>
            </w:r>
            <w:r w:rsidR="00EB148E" w:rsidRPr="00FE1884">
              <w:rPr>
                <w:rFonts w:hint="cs"/>
                <w:rtl/>
              </w:rPr>
              <w:t>קנס הפרה</w:t>
            </w:r>
            <w:r w:rsidRPr="00FE1884">
              <w:rPr>
                <w:rtl/>
              </w:rPr>
              <w:t>, חל</w:t>
            </w:r>
            <w:r w:rsidRPr="00FE1884">
              <w:rPr>
                <w:rFonts w:hint="cs"/>
                <w:rtl/>
              </w:rPr>
              <w:t xml:space="preserve">פו המועדים להגשת בקשה לביטול או להגשת ערר לבית דין לתעבורה </w:t>
            </w:r>
            <w:r w:rsidRPr="00FE1884">
              <w:rPr>
                <w:rFonts w:hint="eastAsia"/>
                <w:rtl/>
              </w:rPr>
              <w:t>לפי</w:t>
            </w:r>
            <w:r w:rsidRPr="00FE1884">
              <w:rPr>
                <w:rtl/>
              </w:rPr>
              <w:t xml:space="preserve"> </w:t>
            </w:r>
            <w:r w:rsidRPr="00FE1884">
              <w:rPr>
                <w:rFonts w:hint="eastAsia"/>
                <w:rtl/>
              </w:rPr>
              <w:t>סעיף</w:t>
            </w:r>
            <w:r w:rsidRPr="00FE1884">
              <w:rPr>
                <w:rtl/>
              </w:rPr>
              <w:t xml:space="preserve"> </w:t>
            </w:r>
            <w:r w:rsidR="00B726BA" w:rsidRPr="00FE1884">
              <w:rPr>
                <w:rFonts w:hint="cs"/>
                <w:rtl/>
              </w:rPr>
              <w:t>19</w:t>
            </w:r>
            <w:r w:rsidRPr="00FE1884">
              <w:rPr>
                <w:rtl/>
              </w:rPr>
              <w:t xml:space="preserve">, ולא הוגשו בקשות כאמור או הוגשה בזמן בקשה לביטול </w:t>
            </w:r>
            <w:r w:rsidRPr="00FE1884">
              <w:rPr>
                <w:rFonts w:hint="cs"/>
                <w:rtl/>
              </w:rPr>
              <w:t>כאמור</w:t>
            </w:r>
            <w:r w:rsidRPr="00FE1884">
              <w:rPr>
                <w:rtl/>
              </w:rPr>
              <w:t xml:space="preserve"> ונדחתה, יראו אותו כאילו </w:t>
            </w:r>
            <w:r w:rsidRPr="00FE1884">
              <w:rPr>
                <w:rFonts w:hint="cs"/>
                <w:rtl/>
              </w:rPr>
              <w:t xml:space="preserve">הודה בביצוע הפרת התעבורה; </w:t>
            </w:r>
            <w:r w:rsidRPr="00FE1884">
              <w:rPr>
                <w:rtl/>
              </w:rPr>
              <w:t xml:space="preserve">ואולם הוראות סעיף קטן זה לא יחולו על אדם שבקשתו לביטול הוגשה שלא במועד אך </w:t>
            </w:r>
            <w:r w:rsidRPr="00FE1884">
              <w:rPr>
                <w:rFonts w:hint="cs"/>
                <w:rtl/>
              </w:rPr>
              <w:t>הוחלט</w:t>
            </w:r>
            <w:r w:rsidRPr="00FE1884">
              <w:rPr>
                <w:rtl/>
              </w:rPr>
              <w:t xml:space="preserve"> </w:t>
            </w:r>
            <w:r w:rsidRPr="00FE1884">
              <w:rPr>
                <w:rFonts w:hint="cs"/>
                <w:rtl/>
              </w:rPr>
              <w:t xml:space="preserve">לדון </w:t>
            </w:r>
            <w:r w:rsidRPr="00FE1884">
              <w:rPr>
                <w:rtl/>
              </w:rPr>
              <w:t xml:space="preserve">בה </w:t>
            </w:r>
            <w:r w:rsidRPr="00FE1884">
              <w:rPr>
                <w:rFonts w:hint="cs"/>
                <w:rtl/>
              </w:rPr>
              <w:t xml:space="preserve">לפי </w:t>
            </w:r>
            <w:r w:rsidRPr="00FE1884">
              <w:rPr>
                <w:rFonts w:hint="eastAsia"/>
                <w:rtl/>
              </w:rPr>
              <w:t>סעיף</w:t>
            </w:r>
            <w:r w:rsidRPr="00FE1884">
              <w:rPr>
                <w:rtl/>
              </w:rPr>
              <w:t xml:space="preserve"> </w:t>
            </w:r>
            <w:r w:rsidRPr="00FE1884">
              <w:rPr>
                <w:rFonts w:hint="cs"/>
                <w:rtl/>
              </w:rPr>
              <w:t>10</w:t>
            </w:r>
            <w:r w:rsidRPr="00FE1884">
              <w:rPr>
                <w:rtl/>
              </w:rPr>
              <w:t>(ג)(1</w:t>
            </w:r>
            <w:r w:rsidRPr="00FE1884">
              <w:rPr>
                <w:rFonts w:hint="cs"/>
                <w:rtl/>
              </w:rPr>
              <w:t>)</w:t>
            </w:r>
            <w:r w:rsidRPr="00FE1884">
              <w:rPr>
                <w:rtl/>
              </w:rPr>
              <w:t xml:space="preserve"> </w:t>
            </w:r>
            <w:r w:rsidRPr="00FE1884">
              <w:rPr>
                <w:rFonts w:hint="cs"/>
                <w:rtl/>
              </w:rPr>
              <w:t xml:space="preserve">ולבטל </w:t>
            </w:r>
            <w:r w:rsidRPr="00FE1884">
              <w:rPr>
                <w:rtl/>
              </w:rPr>
              <w:t xml:space="preserve">את </w:t>
            </w:r>
            <w:r w:rsidRPr="00FE1884">
              <w:rPr>
                <w:rFonts w:hint="cs"/>
                <w:rtl/>
              </w:rPr>
              <w:t>ההחלטה והודעת התשלום</w:t>
            </w:r>
            <w:r w:rsidRPr="00FE1884">
              <w:rPr>
                <w:rtl/>
              </w:rPr>
              <w:t xml:space="preserve">, או על אדם שבית </w:t>
            </w:r>
            <w:r w:rsidRPr="00FE1884">
              <w:rPr>
                <w:rFonts w:hint="cs"/>
                <w:rtl/>
              </w:rPr>
              <w:t>דין לתעבורה</w:t>
            </w:r>
            <w:r w:rsidRPr="00FE1884">
              <w:rPr>
                <w:rtl/>
              </w:rPr>
              <w:t xml:space="preserve"> החליט </w:t>
            </w:r>
            <w:r w:rsidRPr="00FE1884">
              <w:rPr>
                <w:rFonts w:hint="cs"/>
                <w:rtl/>
              </w:rPr>
              <w:t>על הארכת</w:t>
            </w:r>
            <w:r w:rsidRPr="00FE1884">
              <w:rPr>
                <w:rtl/>
              </w:rPr>
              <w:t xml:space="preserve"> </w:t>
            </w:r>
            <w:r w:rsidRPr="00FE1884">
              <w:rPr>
                <w:rFonts w:hint="cs"/>
                <w:rtl/>
              </w:rPr>
              <w:t xml:space="preserve">המועד להגשת עררו לפי </w:t>
            </w:r>
            <w:r w:rsidRPr="00FE1884">
              <w:rPr>
                <w:rFonts w:hint="eastAsia"/>
                <w:rtl/>
              </w:rPr>
              <w:t>סעיף</w:t>
            </w:r>
            <w:r w:rsidRPr="00FE1884">
              <w:rPr>
                <w:rtl/>
              </w:rPr>
              <w:t xml:space="preserve"> </w:t>
            </w:r>
            <w:r w:rsidR="00B726BA" w:rsidRPr="00FE1884">
              <w:rPr>
                <w:rFonts w:hint="cs"/>
                <w:rtl/>
              </w:rPr>
              <w:t>19</w:t>
            </w:r>
            <w:r w:rsidRPr="00FE1884">
              <w:rPr>
                <w:rtl/>
              </w:rPr>
              <w:t>(ג).</w:t>
            </w:r>
          </w:p>
        </w:tc>
      </w:tr>
      <w:tr w:rsidR="00B00EBD">
        <w:trPr>
          <w:cantSplit/>
          <w:trHeight w:val="60"/>
        </w:trPr>
        <w:tc>
          <w:tcPr>
            <w:tcW w:w="1871" w:type="dxa"/>
          </w:tcPr>
          <w:p w:rsidR="00B00EBD" w:rsidRDefault="000A70C2" w:rsidP="00F46949">
            <w:pPr>
              <w:pStyle w:val="TableSideHeading"/>
              <w:keepLines w:val="0"/>
            </w:pPr>
            <w:bookmarkStart w:id="29" w:name="_Toc74773764"/>
            <w:bookmarkStart w:id="30" w:name="_Toc75433138"/>
            <w:r>
              <w:rPr>
                <w:rFonts w:hint="cs"/>
                <w:rtl/>
              </w:rPr>
              <w:t xml:space="preserve">בקשה לביטול </w:t>
            </w:r>
            <w:bookmarkEnd w:id="29"/>
            <w:r w:rsidR="00F46949">
              <w:rPr>
                <w:rFonts w:hint="cs"/>
                <w:rtl/>
              </w:rPr>
              <w:t>החלטה</w:t>
            </w:r>
            <w:bookmarkEnd w:id="30"/>
          </w:p>
        </w:tc>
        <w:tc>
          <w:tcPr>
            <w:tcW w:w="624" w:type="dxa"/>
          </w:tcPr>
          <w:p w:rsidR="00B00EBD" w:rsidRDefault="00B00EBD" w:rsidP="00AB3999">
            <w:pPr>
              <w:pStyle w:val="TableText"/>
              <w:keepLines w:val="0"/>
              <w:numPr>
                <w:ilvl w:val="0"/>
                <w:numId w:val="3"/>
              </w:numPr>
            </w:pPr>
          </w:p>
        </w:tc>
        <w:tc>
          <w:tcPr>
            <w:tcW w:w="7146" w:type="dxa"/>
            <w:gridSpan w:val="5"/>
          </w:tcPr>
          <w:p w:rsidR="00B00EBD" w:rsidRPr="00FE1884" w:rsidRDefault="000A70C2" w:rsidP="00FF5702">
            <w:pPr>
              <w:pStyle w:val="TableBlock"/>
              <w:numPr>
                <w:ilvl w:val="0"/>
                <w:numId w:val="17"/>
              </w:numPr>
              <w:tabs>
                <w:tab w:val="left" w:pos="624"/>
              </w:tabs>
            </w:pPr>
            <w:r w:rsidRPr="00FE1884">
              <w:rPr>
                <w:rFonts w:ascii="David" w:hAnsi="David" w:hint="cs"/>
                <w:color w:val="000000"/>
                <w:sz w:val="26"/>
                <w:rtl/>
              </w:rPr>
              <w:t xml:space="preserve">בהתאם </w:t>
            </w:r>
            <w:r w:rsidRPr="00FE1884">
              <w:rPr>
                <w:rFonts w:ascii="David" w:hAnsi="David" w:hint="eastAsia"/>
                <w:color w:val="000000"/>
                <w:sz w:val="26"/>
                <w:rtl/>
              </w:rPr>
              <w:t>לסעיף</w:t>
            </w:r>
            <w:r w:rsidRPr="00FE1884">
              <w:rPr>
                <w:rFonts w:ascii="David" w:hAnsi="David"/>
                <w:color w:val="000000"/>
                <w:sz w:val="26"/>
                <w:rtl/>
              </w:rPr>
              <w:t xml:space="preserve"> </w:t>
            </w:r>
            <w:r w:rsidRPr="00FE1884">
              <w:rPr>
                <w:rFonts w:ascii="David" w:hAnsi="David" w:hint="cs"/>
                <w:color w:val="000000"/>
                <w:sz w:val="26"/>
                <w:rtl/>
              </w:rPr>
              <w:t>9</w:t>
            </w:r>
            <w:r w:rsidRPr="00FE1884">
              <w:rPr>
                <w:rFonts w:ascii="David" w:hAnsi="David"/>
                <w:color w:val="000000"/>
                <w:sz w:val="26"/>
                <w:rtl/>
              </w:rPr>
              <w:t>(א)(1)</w:t>
            </w:r>
            <w:r w:rsidRPr="00FE1884">
              <w:rPr>
                <w:rFonts w:ascii="David" w:hAnsi="David" w:hint="cs"/>
                <w:color w:val="000000"/>
                <w:sz w:val="26"/>
                <w:rtl/>
              </w:rPr>
              <w:t xml:space="preserve">, </w:t>
            </w:r>
            <w:r w:rsidRPr="00FE1884">
              <w:rPr>
                <w:rFonts w:hint="cs"/>
                <w:rtl/>
              </w:rPr>
              <w:t xml:space="preserve">תובע רשאי </w:t>
            </w:r>
            <w:r w:rsidRPr="00FE1884">
              <w:rPr>
                <w:rFonts w:ascii="David" w:hAnsi="David"/>
                <w:color w:val="000000"/>
                <w:sz w:val="26"/>
                <w:rtl/>
              </w:rPr>
              <w:t xml:space="preserve">לבטל </w:t>
            </w:r>
            <w:r w:rsidRPr="00FE1884">
              <w:rPr>
                <w:rFonts w:ascii="David" w:hAnsi="David" w:hint="cs"/>
                <w:color w:val="000000"/>
                <w:sz w:val="26"/>
                <w:rtl/>
              </w:rPr>
              <w:t xml:space="preserve">את ההחלטה </w:t>
            </w:r>
            <w:r w:rsidRPr="00FE1884">
              <w:rPr>
                <w:rFonts w:ascii="David" w:hAnsi="David"/>
                <w:color w:val="000000"/>
                <w:sz w:val="26"/>
                <w:rtl/>
              </w:rPr>
              <w:t xml:space="preserve">אם נוכח כי לא נעברה </w:t>
            </w:r>
            <w:r w:rsidRPr="00FE1884">
              <w:rPr>
                <w:rFonts w:ascii="David" w:hAnsi="David" w:hint="cs"/>
                <w:color w:val="000000"/>
                <w:sz w:val="26"/>
                <w:rtl/>
              </w:rPr>
              <w:t>הפרה</w:t>
            </w:r>
            <w:r w:rsidRPr="00FE1884">
              <w:rPr>
                <w:rFonts w:ascii="David" w:hAnsi="David"/>
                <w:color w:val="000000"/>
                <w:sz w:val="26"/>
                <w:rtl/>
              </w:rPr>
              <w:t>, או אם היה סבור שנסיבות העניין בכללותן אינן מתאימות להמשך קיום ההליכים</w:t>
            </w:r>
            <w:r w:rsidRPr="00FE1884">
              <w:rPr>
                <w:rFonts w:ascii="David" w:hAnsi="David" w:hint="cs"/>
                <w:color w:val="000000"/>
                <w:sz w:val="26"/>
                <w:rtl/>
              </w:rPr>
              <w:t>.</w:t>
            </w:r>
          </w:p>
        </w:tc>
      </w:tr>
      <w:tr w:rsidR="000A70C2">
        <w:trPr>
          <w:cantSplit/>
          <w:trHeight w:val="60"/>
        </w:trPr>
        <w:tc>
          <w:tcPr>
            <w:tcW w:w="1871" w:type="dxa"/>
          </w:tcPr>
          <w:p w:rsidR="000A70C2" w:rsidRDefault="000A70C2" w:rsidP="000A70C2">
            <w:pPr>
              <w:pStyle w:val="TableSideHeading"/>
              <w:keepLines w:val="0"/>
              <w:rPr>
                <w:rtl/>
              </w:rPr>
            </w:pPr>
          </w:p>
        </w:tc>
        <w:tc>
          <w:tcPr>
            <w:tcW w:w="624" w:type="dxa"/>
          </w:tcPr>
          <w:p w:rsidR="000A70C2" w:rsidRDefault="000A70C2" w:rsidP="000A70C2">
            <w:pPr>
              <w:pStyle w:val="TableText"/>
            </w:pPr>
          </w:p>
        </w:tc>
        <w:tc>
          <w:tcPr>
            <w:tcW w:w="7146" w:type="dxa"/>
            <w:gridSpan w:val="5"/>
          </w:tcPr>
          <w:p w:rsidR="000A70C2" w:rsidRPr="00FE1884" w:rsidRDefault="000A70C2" w:rsidP="00FF5702">
            <w:pPr>
              <w:pStyle w:val="TableBlock"/>
              <w:numPr>
                <w:ilvl w:val="0"/>
                <w:numId w:val="17"/>
              </w:numPr>
              <w:tabs>
                <w:tab w:val="left" w:pos="624"/>
              </w:tabs>
              <w:rPr>
                <w:rFonts w:ascii="David" w:hAnsi="David"/>
                <w:color w:val="000000"/>
                <w:sz w:val="26"/>
                <w:rtl/>
              </w:rPr>
            </w:pPr>
            <w:r w:rsidRPr="00FE1884">
              <w:rPr>
                <w:rFonts w:ascii="David" w:hAnsi="David" w:hint="cs"/>
                <w:color w:val="000000"/>
                <w:sz w:val="26"/>
                <w:rtl/>
              </w:rPr>
              <w:t xml:space="preserve">בהתאם </w:t>
            </w:r>
            <w:r w:rsidRPr="00FE1884">
              <w:rPr>
                <w:rFonts w:ascii="David" w:hAnsi="David" w:hint="eastAsia"/>
                <w:color w:val="000000"/>
                <w:sz w:val="26"/>
                <w:rtl/>
              </w:rPr>
              <w:t>לסעיף</w:t>
            </w:r>
            <w:r w:rsidRPr="00FE1884">
              <w:rPr>
                <w:rFonts w:ascii="David" w:hAnsi="David"/>
                <w:color w:val="000000"/>
                <w:sz w:val="26"/>
                <w:rtl/>
              </w:rPr>
              <w:t xml:space="preserve"> </w:t>
            </w:r>
            <w:r w:rsidRPr="00FE1884">
              <w:rPr>
                <w:rFonts w:ascii="David" w:hAnsi="David" w:hint="cs"/>
                <w:color w:val="000000"/>
                <w:sz w:val="26"/>
                <w:rtl/>
              </w:rPr>
              <w:t>9</w:t>
            </w:r>
            <w:r w:rsidRPr="00FE1884">
              <w:rPr>
                <w:rFonts w:ascii="David" w:hAnsi="David"/>
                <w:color w:val="000000"/>
                <w:sz w:val="26"/>
                <w:rtl/>
              </w:rPr>
              <w:t>(א)(2)</w:t>
            </w:r>
            <w:r w:rsidRPr="00FE1884">
              <w:rPr>
                <w:rFonts w:ascii="David" w:hAnsi="David" w:hint="cs"/>
                <w:color w:val="000000"/>
                <w:sz w:val="26"/>
                <w:rtl/>
              </w:rPr>
              <w:t xml:space="preserve">, גורם אכיפה </w:t>
            </w:r>
            <w:r w:rsidRPr="00FE1884">
              <w:rPr>
                <w:rFonts w:ascii="David" w:hAnsi="David"/>
                <w:color w:val="000000"/>
                <w:sz w:val="26"/>
                <w:rtl/>
              </w:rPr>
              <w:t xml:space="preserve">רשאי לבטל </w:t>
            </w:r>
            <w:r w:rsidRPr="00FE1884">
              <w:rPr>
                <w:rFonts w:ascii="David" w:hAnsi="David" w:hint="cs"/>
                <w:color w:val="000000"/>
                <w:sz w:val="26"/>
                <w:rtl/>
              </w:rPr>
              <w:t xml:space="preserve">את ההחלטה </w:t>
            </w:r>
            <w:r w:rsidRPr="00FE1884">
              <w:rPr>
                <w:rFonts w:ascii="David" w:hAnsi="David"/>
                <w:color w:val="000000"/>
                <w:sz w:val="26"/>
                <w:rtl/>
              </w:rPr>
              <w:t xml:space="preserve">אם </w:t>
            </w:r>
            <w:r w:rsidRPr="00FE1884">
              <w:rPr>
                <w:rFonts w:ascii="David" w:hAnsi="David" w:hint="cs"/>
                <w:color w:val="000000"/>
                <w:sz w:val="26"/>
                <w:rtl/>
              </w:rPr>
              <w:t>נוכח כי היא בוצעה שלא בידי מי שקיבל את הודעת התשלום.</w:t>
            </w:r>
          </w:p>
        </w:tc>
      </w:tr>
      <w:tr w:rsidR="000A70C2">
        <w:trPr>
          <w:cantSplit/>
          <w:trHeight w:val="60"/>
        </w:trPr>
        <w:tc>
          <w:tcPr>
            <w:tcW w:w="1871" w:type="dxa"/>
          </w:tcPr>
          <w:p w:rsidR="000A70C2" w:rsidRDefault="000A70C2" w:rsidP="000A70C2">
            <w:pPr>
              <w:pStyle w:val="TableSideHeading"/>
              <w:keepLines w:val="0"/>
              <w:rPr>
                <w:rtl/>
              </w:rPr>
            </w:pPr>
          </w:p>
        </w:tc>
        <w:tc>
          <w:tcPr>
            <w:tcW w:w="624" w:type="dxa"/>
          </w:tcPr>
          <w:p w:rsidR="000A70C2" w:rsidRDefault="000A70C2" w:rsidP="000A70C2">
            <w:pPr>
              <w:pStyle w:val="TableText"/>
            </w:pPr>
          </w:p>
        </w:tc>
        <w:tc>
          <w:tcPr>
            <w:tcW w:w="7146" w:type="dxa"/>
            <w:gridSpan w:val="5"/>
          </w:tcPr>
          <w:p w:rsidR="000A70C2" w:rsidRPr="00FE1884" w:rsidRDefault="000A70C2" w:rsidP="00AB3999">
            <w:pPr>
              <w:pStyle w:val="TableBlock"/>
              <w:numPr>
                <w:ilvl w:val="0"/>
                <w:numId w:val="17"/>
              </w:numPr>
              <w:tabs>
                <w:tab w:val="left" w:pos="624"/>
              </w:tabs>
              <w:rPr>
                <w:rFonts w:ascii="David" w:hAnsi="David"/>
                <w:color w:val="000000"/>
                <w:sz w:val="26"/>
                <w:rtl/>
              </w:rPr>
            </w:pPr>
            <w:r w:rsidRPr="00FE1884">
              <w:rPr>
                <w:rFonts w:ascii="David" w:hAnsi="David" w:hint="cs"/>
                <w:color w:val="000000"/>
                <w:sz w:val="26"/>
                <w:rtl/>
              </w:rPr>
              <w:t xml:space="preserve">ההוראות הבאות יחולו על בקשה לביטול לפי </w:t>
            </w:r>
            <w:r w:rsidRPr="00FE1884">
              <w:rPr>
                <w:rFonts w:ascii="David" w:hAnsi="David" w:hint="eastAsia"/>
                <w:color w:val="000000"/>
                <w:sz w:val="26"/>
                <w:rtl/>
              </w:rPr>
              <w:t>סעיפים</w:t>
            </w:r>
            <w:r w:rsidRPr="00FE1884">
              <w:rPr>
                <w:rFonts w:ascii="David" w:hAnsi="David" w:hint="cs"/>
                <w:color w:val="000000"/>
                <w:sz w:val="26"/>
                <w:rtl/>
              </w:rPr>
              <w:t xml:space="preserve"> 9</w:t>
            </w:r>
            <w:r w:rsidRPr="00FE1884">
              <w:rPr>
                <w:rFonts w:ascii="David" w:hAnsi="David"/>
                <w:color w:val="000000"/>
                <w:sz w:val="26"/>
                <w:rtl/>
              </w:rPr>
              <w:t xml:space="preserve">(א)(1) </w:t>
            </w:r>
            <w:r w:rsidRPr="00FE1884">
              <w:rPr>
                <w:rFonts w:ascii="David" w:hAnsi="David" w:hint="eastAsia"/>
                <w:color w:val="000000"/>
                <w:sz w:val="26"/>
                <w:rtl/>
              </w:rPr>
              <w:t>ו</w:t>
            </w:r>
            <w:r w:rsidRPr="00FE1884">
              <w:rPr>
                <w:rFonts w:ascii="David" w:hAnsi="David"/>
                <w:color w:val="000000"/>
                <w:sz w:val="26"/>
                <w:rtl/>
              </w:rPr>
              <w:t>-</w:t>
            </w:r>
            <w:r w:rsidRPr="00FE1884">
              <w:rPr>
                <w:rFonts w:ascii="David" w:hAnsi="David" w:hint="cs"/>
                <w:color w:val="000000"/>
                <w:sz w:val="26"/>
                <w:rtl/>
              </w:rPr>
              <w:t>9</w:t>
            </w:r>
            <w:r w:rsidRPr="00FE1884">
              <w:rPr>
                <w:rFonts w:ascii="David" w:hAnsi="David"/>
                <w:color w:val="000000"/>
                <w:sz w:val="26"/>
                <w:rtl/>
              </w:rPr>
              <w:t>(א)(2</w:t>
            </w:r>
            <w:r w:rsidRPr="00FE1884">
              <w:rPr>
                <w:rFonts w:ascii="David" w:hAnsi="David" w:hint="cs"/>
                <w:color w:val="000000"/>
                <w:sz w:val="26"/>
                <w:rtl/>
              </w:rPr>
              <w:t>):</w:t>
            </w:r>
          </w:p>
        </w:tc>
      </w:tr>
      <w:tr w:rsidR="000A70C2">
        <w:trPr>
          <w:cantSplit/>
          <w:trHeight w:val="60"/>
        </w:trPr>
        <w:tc>
          <w:tcPr>
            <w:tcW w:w="1871" w:type="dxa"/>
          </w:tcPr>
          <w:p w:rsidR="000A70C2" w:rsidRDefault="000A70C2">
            <w:pPr>
              <w:pStyle w:val="TableSideHeading"/>
            </w:pPr>
          </w:p>
        </w:tc>
        <w:tc>
          <w:tcPr>
            <w:tcW w:w="624" w:type="dxa"/>
          </w:tcPr>
          <w:p w:rsidR="000A70C2" w:rsidRDefault="000A70C2">
            <w:pPr>
              <w:pStyle w:val="TableText"/>
            </w:pPr>
          </w:p>
        </w:tc>
        <w:tc>
          <w:tcPr>
            <w:tcW w:w="624" w:type="dxa"/>
          </w:tcPr>
          <w:p w:rsidR="000A70C2" w:rsidRDefault="000A70C2">
            <w:pPr>
              <w:pStyle w:val="TableText"/>
            </w:pPr>
          </w:p>
        </w:tc>
        <w:tc>
          <w:tcPr>
            <w:tcW w:w="6522" w:type="dxa"/>
            <w:gridSpan w:val="4"/>
          </w:tcPr>
          <w:p w:rsidR="000A70C2" w:rsidRPr="00FE1884" w:rsidRDefault="000A70C2" w:rsidP="00AB3999">
            <w:pPr>
              <w:pStyle w:val="TableBlock"/>
              <w:numPr>
                <w:ilvl w:val="0"/>
                <w:numId w:val="18"/>
              </w:numPr>
              <w:tabs>
                <w:tab w:val="left" w:pos="624"/>
              </w:tabs>
            </w:pPr>
            <w:r w:rsidRPr="00FE1884">
              <w:rPr>
                <w:rFonts w:ascii="David" w:hAnsi="David" w:hint="cs"/>
                <w:color w:val="000000"/>
                <w:sz w:val="26"/>
                <w:rtl/>
              </w:rPr>
              <w:t xml:space="preserve">תובע או גורם אכיפה, לפי העניין, </w:t>
            </w:r>
            <w:r w:rsidRPr="00FE1884">
              <w:rPr>
                <w:rFonts w:ascii="David" w:hAnsi="David"/>
                <w:color w:val="000000"/>
                <w:sz w:val="26"/>
                <w:rtl/>
              </w:rPr>
              <w:t xml:space="preserve">רשאי לדון בבקשה שהוגשה לאחר המועדים האמורים </w:t>
            </w:r>
            <w:r w:rsidRPr="00FE1884">
              <w:rPr>
                <w:rFonts w:ascii="David" w:hAnsi="David" w:hint="eastAsia"/>
                <w:color w:val="000000"/>
                <w:sz w:val="26"/>
                <w:rtl/>
              </w:rPr>
              <w:t>בסעיפים</w:t>
            </w:r>
            <w:r w:rsidRPr="00FE1884">
              <w:rPr>
                <w:rFonts w:ascii="David" w:hAnsi="David"/>
                <w:color w:val="000000"/>
                <w:sz w:val="26"/>
                <w:rtl/>
              </w:rPr>
              <w:t xml:space="preserve"> </w:t>
            </w:r>
            <w:r w:rsidRPr="00FE1884">
              <w:rPr>
                <w:rFonts w:ascii="David" w:hAnsi="David" w:hint="cs"/>
                <w:color w:val="000000"/>
                <w:sz w:val="26"/>
                <w:rtl/>
              </w:rPr>
              <w:t>9</w:t>
            </w:r>
            <w:r w:rsidRPr="00FE1884">
              <w:rPr>
                <w:rFonts w:ascii="David" w:hAnsi="David"/>
                <w:color w:val="000000"/>
                <w:sz w:val="26"/>
                <w:rtl/>
              </w:rPr>
              <w:t xml:space="preserve">(א)(1) </w:t>
            </w:r>
            <w:r w:rsidRPr="00FE1884">
              <w:rPr>
                <w:rFonts w:ascii="David" w:hAnsi="David" w:hint="eastAsia"/>
                <w:color w:val="000000"/>
                <w:sz w:val="26"/>
                <w:rtl/>
              </w:rPr>
              <w:t>ו</w:t>
            </w:r>
            <w:r w:rsidRPr="00FE1884">
              <w:rPr>
                <w:rFonts w:ascii="David" w:hAnsi="David"/>
                <w:color w:val="000000"/>
                <w:sz w:val="26"/>
                <w:rtl/>
              </w:rPr>
              <w:t>-</w:t>
            </w:r>
            <w:r w:rsidRPr="00FE1884">
              <w:rPr>
                <w:rFonts w:ascii="David" w:hAnsi="David" w:hint="cs"/>
                <w:color w:val="000000"/>
                <w:sz w:val="26"/>
                <w:rtl/>
              </w:rPr>
              <w:t>9</w:t>
            </w:r>
            <w:r w:rsidRPr="00FE1884">
              <w:rPr>
                <w:rFonts w:ascii="David" w:hAnsi="David"/>
                <w:color w:val="000000"/>
                <w:sz w:val="26"/>
                <w:rtl/>
              </w:rPr>
              <w:t>(א)(2), אם שוכנע שהבקשה לא הוגשה במועד בשל סיבות שלא היו תלויות במבקש ושמנעו ממנו להגישה במועד והיא הוגשה מיד לאחר שהוסרה המניעה</w:t>
            </w:r>
            <w:r w:rsidRPr="00FE1884">
              <w:rPr>
                <w:rFonts w:hint="cs"/>
                <w:rtl/>
              </w:rPr>
              <w:t>;</w:t>
            </w:r>
          </w:p>
        </w:tc>
      </w:tr>
      <w:tr w:rsidR="000A70C2">
        <w:trPr>
          <w:cantSplit/>
          <w:trHeight w:val="60"/>
        </w:trPr>
        <w:tc>
          <w:tcPr>
            <w:tcW w:w="1871" w:type="dxa"/>
          </w:tcPr>
          <w:p w:rsidR="000A70C2" w:rsidRDefault="000A70C2">
            <w:pPr>
              <w:pStyle w:val="TableSideHeading"/>
            </w:pPr>
          </w:p>
        </w:tc>
        <w:tc>
          <w:tcPr>
            <w:tcW w:w="624" w:type="dxa"/>
          </w:tcPr>
          <w:p w:rsidR="000A70C2" w:rsidRDefault="000A70C2" w:rsidP="000A70C2">
            <w:pPr>
              <w:pStyle w:val="TableText"/>
            </w:pPr>
          </w:p>
        </w:tc>
        <w:tc>
          <w:tcPr>
            <w:tcW w:w="624" w:type="dxa"/>
          </w:tcPr>
          <w:p w:rsidR="000A70C2" w:rsidRDefault="000A70C2">
            <w:pPr>
              <w:pStyle w:val="TableText"/>
            </w:pPr>
          </w:p>
        </w:tc>
        <w:tc>
          <w:tcPr>
            <w:tcW w:w="6522" w:type="dxa"/>
            <w:gridSpan w:val="4"/>
          </w:tcPr>
          <w:p w:rsidR="000A70C2" w:rsidRPr="00FE1884" w:rsidRDefault="000A70C2" w:rsidP="00AB3999">
            <w:pPr>
              <w:pStyle w:val="TableBlock"/>
              <w:numPr>
                <w:ilvl w:val="0"/>
                <w:numId w:val="18"/>
              </w:numPr>
              <w:tabs>
                <w:tab w:val="left" w:pos="624"/>
              </w:tabs>
              <w:rPr>
                <w:rFonts w:ascii="David" w:hAnsi="David"/>
                <w:color w:val="000000"/>
                <w:sz w:val="26"/>
                <w:rtl/>
              </w:rPr>
            </w:pPr>
            <w:r w:rsidRPr="00FE1884">
              <w:rPr>
                <w:rFonts w:ascii="David" w:hAnsi="David"/>
                <w:color w:val="000000"/>
                <w:sz w:val="26"/>
                <w:rtl/>
              </w:rPr>
              <w:t>תובע</w:t>
            </w:r>
            <w:r w:rsidRPr="00FE1884">
              <w:rPr>
                <w:rFonts w:ascii="David" w:hAnsi="David" w:hint="cs"/>
                <w:color w:val="000000"/>
                <w:sz w:val="26"/>
                <w:rtl/>
              </w:rPr>
              <w:t xml:space="preserve"> או גורם אכיפה, לפי העניין,</w:t>
            </w:r>
            <w:r w:rsidRPr="00FE1884">
              <w:rPr>
                <w:rFonts w:ascii="David" w:hAnsi="David"/>
                <w:color w:val="000000"/>
                <w:sz w:val="26"/>
                <w:rtl/>
              </w:rPr>
              <w:t xml:space="preserve"> יערוך רישום של </w:t>
            </w:r>
            <w:r w:rsidRPr="00FE1884">
              <w:rPr>
                <w:rFonts w:ascii="David" w:hAnsi="David" w:hint="cs"/>
                <w:color w:val="000000"/>
                <w:sz w:val="26"/>
                <w:rtl/>
              </w:rPr>
              <w:t xml:space="preserve">ההחלטה והודעת התשלום </w:t>
            </w:r>
            <w:r w:rsidRPr="00FE1884">
              <w:rPr>
                <w:rFonts w:ascii="David" w:hAnsi="David"/>
                <w:color w:val="000000"/>
                <w:sz w:val="26"/>
                <w:rtl/>
              </w:rPr>
              <w:t>שביטל וינמק את החלטתו</w:t>
            </w:r>
            <w:r w:rsidRPr="00FE1884">
              <w:rPr>
                <w:rFonts w:hint="cs"/>
                <w:rtl/>
              </w:rPr>
              <w:t>;</w:t>
            </w:r>
          </w:p>
        </w:tc>
      </w:tr>
      <w:tr w:rsidR="000A70C2">
        <w:trPr>
          <w:cantSplit/>
          <w:trHeight w:val="60"/>
        </w:trPr>
        <w:tc>
          <w:tcPr>
            <w:tcW w:w="1871" w:type="dxa"/>
          </w:tcPr>
          <w:p w:rsidR="000A70C2" w:rsidRDefault="000A70C2">
            <w:pPr>
              <w:pStyle w:val="TableSideHeading"/>
            </w:pPr>
          </w:p>
        </w:tc>
        <w:tc>
          <w:tcPr>
            <w:tcW w:w="624" w:type="dxa"/>
          </w:tcPr>
          <w:p w:rsidR="000A70C2" w:rsidRDefault="000A70C2" w:rsidP="000A70C2">
            <w:pPr>
              <w:pStyle w:val="TableText"/>
            </w:pPr>
          </w:p>
        </w:tc>
        <w:tc>
          <w:tcPr>
            <w:tcW w:w="624" w:type="dxa"/>
          </w:tcPr>
          <w:p w:rsidR="000A70C2" w:rsidRDefault="000A70C2">
            <w:pPr>
              <w:pStyle w:val="TableText"/>
            </w:pPr>
          </w:p>
        </w:tc>
        <w:tc>
          <w:tcPr>
            <w:tcW w:w="6522" w:type="dxa"/>
            <w:gridSpan w:val="4"/>
          </w:tcPr>
          <w:p w:rsidR="000A70C2" w:rsidRPr="00FE1884" w:rsidRDefault="000A70C2" w:rsidP="001145FE">
            <w:pPr>
              <w:pStyle w:val="TableBlock"/>
              <w:numPr>
                <w:ilvl w:val="0"/>
                <w:numId w:val="18"/>
              </w:numPr>
              <w:tabs>
                <w:tab w:val="left" w:pos="624"/>
              </w:tabs>
              <w:rPr>
                <w:rFonts w:ascii="David" w:hAnsi="David"/>
                <w:color w:val="000000"/>
                <w:sz w:val="26"/>
                <w:rtl/>
              </w:rPr>
            </w:pPr>
            <w:r w:rsidRPr="00FE1884">
              <w:rPr>
                <w:rFonts w:hint="cs"/>
                <w:rtl/>
              </w:rPr>
              <w:t>ה</w:t>
            </w:r>
            <w:r w:rsidRPr="00FE1884">
              <w:rPr>
                <w:rtl/>
              </w:rPr>
              <w:t>חליט התובע</w:t>
            </w:r>
            <w:r w:rsidRPr="00FE1884">
              <w:rPr>
                <w:rFonts w:hint="cs"/>
                <w:rtl/>
              </w:rPr>
              <w:t xml:space="preserve"> או גורם האכיפה, לפי העניין,</w:t>
            </w:r>
            <w:r w:rsidRPr="00FE1884">
              <w:rPr>
                <w:rtl/>
              </w:rPr>
              <w:t xml:space="preserve"> שלא לבטל את </w:t>
            </w:r>
            <w:r w:rsidRPr="00FE1884">
              <w:rPr>
                <w:rFonts w:hint="cs"/>
                <w:rtl/>
              </w:rPr>
              <w:t>ההחלטה</w:t>
            </w:r>
            <w:r w:rsidRPr="00FE1884">
              <w:rPr>
                <w:rtl/>
              </w:rPr>
              <w:t>, ימציא למבקש הודעה על כך</w:t>
            </w:r>
            <w:r w:rsidRPr="00FE1884">
              <w:rPr>
                <w:rFonts w:hint="cs"/>
                <w:rtl/>
              </w:rPr>
              <w:t xml:space="preserve">, ואולם הוראות </w:t>
            </w:r>
            <w:r w:rsidRPr="00FE1884">
              <w:rPr>
                <w:rFonts w:hint="eastAsia"/>
                <w:rtl/>
              </w:rPr>
              <w:t>סעיף</w:t>
            </w:r>
            <w:r w:rsidRPr="00FE1884">
              <w:rPr>
                <w:rtl/>
              </w:rPr>
              <w:t xml:space="preserve"> </w:t>
            </w:r>
            <w:r w:rsidR="001145FE" w:rsidRPr="00FE1884">
              <w:rPr>
                <w:rtl/>
              </w:rPr>
              <w:t>12</w:t>
            </w:r>
            <w:r w:rsidR="001145FE" w:rsidRPr="00FE1884">
              <w:rPr>
                <w:rFonts w:hint="cs"/>
                <w:rtl/>
              </w:rPr>
              <w:t xml:space="preserve"> </w:t>
            </w:r>
            <w:r w:rsidRPr="00FE1884">
              <w:rPr>
                <w:rFonts w:hint="cs"/>
                <w:rtl/>
              </w:rPr>
              <w:t>יחולו כאילו לא הוגשה הבקשה לביטול;</w:t>
            </w:r>
          </w:p>
        </w:tc>
      </w:tr>
      <w:tr w:rsidR="000A70C2">
        <w:trPr>
          <w:cantSplit/>
          <w:trHeight w:val="60"/>
        </w:trPr>
        <w:tc>
          <w:tcPr>
            <w:tcW w:w="1871" w:type="dxa"/>
          </w:tcPr>
          <w:p w:rsidR="000A70C2" w:rsidRDefault="000A70C2">
            <w:pPr>
              <w:pStyle w:val="TableSideHeading"/>
            </w:pPr>
          </w:p>
        </w:tc>
        <w:tc>
          <w:tcPr>
            <w:tcW w:w="624" w:type="dxa"/>
          </w:tcPr>
          <w:p w:rsidR="000A70C2" w:rsidRDefault="000A70C2" w:rsidP="000A70C2">
            <w:pPr>
              <w:pStyle w:val="TableText"/>
            </w:pPr>
          </w:p>
        </w:tc>
        <w:tc>
          <w:tcPr>
            <w:tcW w:w="624" w:type="dxa"/>
          </w:tcPr>
          <w:p w:rsidR="000A70C2" w:rsidRDefault="000A70C2">
            <w:pPr>
              <w:pStyle w:val="TableText"/>
            </w:pPr>
          </w:p>
        </w:tc>
        <w:tc>
          <w:tcPr>
            <w:tcW w:w="6522" w:type="dxa"/>
            <w:gridSpan w:val="4"/>
          </w:tcPr>
          <w:p w:rsidR="000A70C2" w:rsidRPr="00FE1884" w:rsidRDefault="000A70C2" w:rsidP="00AB3999">
            <w:pPr>
              <w:pStyle w:val="TableBlock"/>
              <w:numPr>
                <w:ilvl w:val="0"/>
                <w:numId w:val="18"/>
              </w:numPr>
              <w:tabs>
                <w:tab w:val="left" w:pos="624"/>
              </w:tabs>
              <w:rPr>
                <w:rFonts w:ascii="David" w:hAnsi="David"/>
                <w:color w:val="000000"/>
                <w:sz w:val="26"/>
                <w:rtl/>
              </w:rPr>
            </w:pPr>
            <w:r w:rsidRPr="00FE1884">
              <w:rPr>
                <w:rFonts w:hint="cs"/>
                <w:rtl/>
              </w:rPr>
              <w:t xml:space="preserve">החלטה בבקשה לביטול תהיה סופית, ואולם רשאי המפר </w:t>
            </w:r>
            <w:r w:rsidRPr="00FE1884">
              <w:rPr>
                <w:rFonts w:ascii="David" w:hAnsi="David" w:hint="cs"/>
                <w:color w:val="000000"/>
                <w:sz w:val="26"/>
                <w:rtl/>
              </w:rPr>
              <w:t xml:space="preserve">להגיש </w:t>
            </w:r>
            <w:r w:rsidR="00FF5702" w:rsidRPr="00FE1884">
              <w:rPr>
                <w:rFonts w:ascii="David" w:hAnsi="David" w:hint="cs"/>
                <w:color w:val="000000"/>
                <w:sz w:val="26"/>
                <w:rtl/>
              </w:rPr>
              <w:t xml:space="preserve">עליה </w:t>
            </w:r>
            <w:r w:rsidRPr="00FE1884">
              <w:rPr>
                <w:rFonts w:ascii="David" w:hAnsi="David" w:hint="cs"/>
                <w:color w:val="000000"/>
                <w:sz w:val="26"/>
                <w:rtl/>
              </w:rPr>
              <w:t>ערר לפי סעיף 19.</w:t>
            </w:r>
          </w:p>
        </w:tc>
      </w:tr>
      <w:tr w:rsidR="000A70C2">
        <w:trPr>
          <w:cantSplit/>
          <w:trHeight w:val="60"/>
        </w:trPr>
        <w:tc>
          <w:tcPr>
            <w:tcW w:w="1871" w:type="dxa"/>
          </w:tcPr>
          <w:p w:rsidR="000A70C2" w:rsidRDefault="000A70C2" w:rsidP="000A70C2">
            <w:pPr>
              <w:pStyle w:val="TableSideHeading"/>
              <w:keepLines w:val="0"/>
            </w:pPr>
            <w:bookmarkStart w:id="31" w:name="_Toc74773765"/>
            <w:bookmarkStart w:id="32" w:name="_Toc75433139"/>
            <w:r>
              <w:rPr>
                <w:rFonts w:hint="cs"/>
                <w:rtl/>
              </w:rPr>
              <w:t>תוספת פיגור על אי-תשלום קנס</w:t>
            </w:r>
            <w:bookmarkEnd w:id="31"/>
            <w:bookmarkEnd w:id="32"/>
          </w:p>
        </w:tc>
        <w:tc>
          <w:tcPr>
            <w:tcW w:w="624" w:type="dxa"/>
          </w:tcPr>
          <w:p w:rsidR="000A70C2" w:rsidRDefault="000A70C2" w:rsidP="00AB3999">
            <w:pPr>
              <w:pStyle w:val="TableText"/>
              <w:keepLines w:val="0"/>
              <w:numPr>
                <w:ilvl w:val="0"/>
                <w:numId w:val="3"/>
              </w:numPr>
            </w:pPr>
          </w:p>
        </w:tc>
        <w:tc>
          <w:tcPr>
            <w:tcW w:w="7146" w:type="dxa"/>
            <w:gridSpan w:val="5"/>
          </w:tcPr>
          <w:p w:rsidR="000A70C2" w:rsidRPr="00FE1884" w:rsidRDefault="000A70C2" w:rsidP="0082002F">
            <w:pPr>
              <w:pStyle w:val="TableBlock"/>
              <w:numPr>
                <w:ilvl w:val="0"/>
                <w:numId w:val="19"/>
              </w:numPr>
              <w:tabs>
                <w:tab w:val="left" w:pos="624"/>
              </w:tabs>
            </w:pPr>
            <w:r w:rsidRPr="00FE1884">
              <w:rPr>
                <w:rFonts w:hint="cs"/>
                <w:rtl/>
              </w:rPr>
              <w:t xml:space="preserve">לא שילם אדם קנס </w:t>
            </w:r>
            <w:r w:rsidR="00B27B22" w:rsidRPr="00FE1884">
              <w:rPr>
                <w:rFonts w:hint="cs"/>
                <w:rtl/>
              </w:rPr>
              <w:t xml:space="preserve">הפרה </w:t>
            </w:r>
            <w:r w:rsidRPr="00FE1884">
              <w:rPr>
                <w:rFonts w:hint="cs"/>
                <w:rtl/>
              </w:rPr>
              <w:t xml:space="preserve">במועד ולא הגיש ערר, תיווסף על קנס </w:t>
            </w:r>
            <w:r w:rsidR="0082002F" w:rsidRPr="00FE1884">
              <w:rPr>
                <w:rFonts w:hint="cs"/>
                <w:rtl/>
              </w:rPr>
              <w:t xml:space="preserve">ההפרה </w:t>
            </w:r>
            <w:r w:rsidRPr="00FE1884">
              <w:rPr>
                <w:rFonts w:hint="cs"/>
                <w:rtl/>
              </w:rPr>
              <w:t xml:space="preserve">תוספת פיגור בגובה </w:t>
            </w:r>
            <w:r w:rsidRPr="00FE1884">
              <w:rPr>
                <w:rFonts w:hint="eastAsia"/>
                <w:rtl/>
              </w:rPr>
              <w:t>שלושים</w:t>
            </w:r>
            <w:r w:rsidRPr="00FE1884">
              <w:rPr>
                <w:rtl/>
              </w:rPr>
              <w:t xml:space="preserve"> </w:t>
            </w:r>
            <w:r w:rsidRPr="00FE1884">
              <w:rPr>
                <w:rFonts w:hint="eastAsia"/>
                <w:rtl/>
              </w:rPr>
              <w:t>וחמישה</w:t>
            </w:r>
            <w:r w:rsidRPr="00FE1884">
              <w:rPr>
                <w:rtl/>
              </w:rPr>
              <w:t xml:space="preserve"> </w:t>
            </w:r>
            <w:r w:rsidRPr="00FE1884">
              <w:rPr>
                <w:rFonts w:hint="eastAsia"/>
                <w:rtl/>
              </w:rPr>
              <w:t>אחוזים</w:t>
            </w:r>
            <w:r w:rsidRPr="00FE1884">
              <w:rPr>
                <w:rFonts w:hint="cs"/>
                <w:rtl/>
              </w:rPr>
              <w:t xml:space="preserve"> מן הקנס או מחלקו שלא שולם, לפי העניין.</w:t>
            </w:r>
          </w:p>
        </w:tc>
      </w:tr>
      <w:tr w:rsidR="000A70C2">
        <w:trPr>
          <w:cantSplit/>
          <w:trHeight w:val="60"/>
        </w:trPr>
        <w:tc>
          <w:tcPr>
            <w:tcW w:w="1871" w:type="dxa"/>
          </w:tcPr>
          <w:p w:rsidR="000A70C2" w:rsidRDefault="000A70C2" w:rsidP="000A70C2">
            <w:pPr>
              <w:pStyle w:val="TableSideHeading"/>
              <w:keepLines w:val="0"/>
              <w:rPr>
                <w:rtl/>
              </w:rPr>
            </w:pPr>
          </w:p>
        </w:tc>
        <w:tc>
          <w:tcPr>
            <w:tcW w:w="624" w:type="dxa"/>
          </w:tcPr>
          <w:p w:rsidR="000A70C2" w:rsidRDefault="000A70C2" w:rsidP="000A70C2">
            <w:pPr>
              <w:pStyle w:val="TableText"/>
            </w:pPr>
          </w:p>
        </w:tc>
        <w:tc>
          <w:tcPr>
            <w:tcW w:w="7146" w:type="dxa"/>
            <w:gridSpan w:val="5"/>
          </w:tcPr>
          <w:p w:rsidR="000A70C2" w:rsidRDefault="000A70C2" w:rsidP="0082002F">
            <w:pPr>
              <w:pStyle w:val="TableBlock"/>
              <w:numPr>
                <w:ilvl w:val="0"/>
                <w:numId w:val="19"/>
              </w:numPr>
              <w:tabs>
                <w:tab w:val="left" w:pos="624"/>
              </w:tabs>
              <w:rPr>
                <w:rtl/>
              </w:rPr>
            </w:pPr>
            <w:r w:rsidRPr="00C22D14">
              <w:rPr>
                <w:rtl/>
              </w:rPr>
              <w:t xml:space="preserve">בתום כל תקופה של ששה חדשים </w:t>
            </w:r>
            <w:r>
              <w:rPr>
                <w:rFonts w:hint="cs"/>
                <w:rtl/>
              </w:rPr>
              <w:t>שעברו מן המועד</w:t>
            </w:r>
            <w:r w:rsidRPr="00C22D14">
              <w:rPr>
                <w:rtl/>
              </w:rPr>
              <w:t xml:space="preserve"> </w:t>
            </w:r>
            <w:r>
              <w:rPr>
                <w:rFonts w:hint="cs"/>
                <w:rtl/>
              </w:rPr>
              <w:t>הקבוע בסעיף קטן (א)</w:t>
            </w:r>
            <w:r w:rsidRPr="00C22D14">
              <w:rPr>
                <w:rtl/>
              </w:rPr>
              <w:t xml:space="preserve"> </w:t>
            </w:r>
            <w:r>
              <w:rPr>
                <w:rtl/>
              </w:rPr>
              <w:t>–</w:t>
            </w:r>
            <w:r w:rsidRPr="00C22D14">
              <w:rPr>
                <w:rtl/>
              </w:rPr>
              <w:t xml:space="preserve"> חמישה אחוזים נוספים מן </w:t>
            </w:r>
            <w:r w:rsidR="0082002F">
              <w:rPr>
                <w:rFonts w:hint="cs"/>
                <w:rtl/>
              </w:rPr>
              <w:t>קנס ההפרה</w:t>
            </w:r>
            <w:r w:rsidRPr="00C22D14">
              <w:rPr>
                <w:rtl/>
              </w:rPr>
              <w:t xml:space="preserve"> או מחלקו </w:t>
            </w:r>
            <w:r>
              <w:rPr>
                <w:rFonts w:hint="cs"/>
                <w:rtl/>
              </w:rPr>
              <w:t>שלא שולם, לפי העניין</w:t>
            </w:r>
            <w:r w:rsidRPr="00C22D14">
              <w:t>.</w:t>
            </w:r>
          </w:p>
        </w:tc>
      </w:tr>
      <w:tr w:rsidR="000A70C2">
        <w:trPr>
          <w:cantSplit/>
          <w:trHeight w:val="60"/>
        </w:trPr>
        <w:tc>
          <w:tcPr>
            <w:tcW w:w="1871" w:type="dxa"/>
          </w:tcPr>
          <w:p w:rsidR="000A70C2" w:rsidRDefault="000A70C2" w:rsidP="000A70C2">
            <w:pPr>
              <w:pStyle w:val="TableSideHeading"/>
              <w:keepLines w:val="0"/>
              <w:rPr>
                <w:rtl/>
              </w:rPr>
            </w:pPr>
          </w:p>
        </w:tc>
        <w:tc>
          <w:tcPr>
            <w:tcW w:w="624" w:type="dxa"/>
          </w:tcPr>
          <w:p w:rsidR="000A70C2" w:rsidRDefault="000A70C2" w:rsidP="000A70C2">
            <w:pPr>
              <w:pStyle w:val="TableText"/>
            </w:pPr>
          </w:p>
        </w:tc>
        <w:tc>
          <w:tcPr>
            <w:tcW w:w="7146" w:type="dxa"/>
            <w:gridSpan w:val="5"/>
          </w:tcPr>
          <w:p w:rsidR="000A70C2" w:rsidRPr="00C22D14" w:rsidRDefault="000A70C2" w:rsidP="0082002F">
            <w:pPr>
              <w:pStyle w:val="TableBlock"/>
              <w:numPr>
                <w:ilvl w:val="0"/>
                <w:numId w:val="19"/>
              </w:numPr>
              <w:tabs>
                <w:tab w:val="left" w:pos="624"/>
              </w:tabs>
              <w:rPr>
                <w:rtl/>
              </w:rPr>
            </w:pPr>
            <w:r w:rsidRPr="00E63AE7">
              <w:rPr>
                <w:rtl/>
              </w:rPr>
              <w:t xml:space="preserve">סכום ששולם </w:t>
            </w:r>
            <w:r>
              <w:rPr>
                <w:rtl/>
              </w:rPr>
              <w:t xml:space="preserve">או שנגבה על חשבון קנס </w:t>
            </w:r>
            <w:r w:rsidR="0082002F">
              <w:rPr>
                <w:rFonts w:hint="cs"/>
                <w:rtl/>
              </w:rPr>
              <w:t xml:space="preserve">הפרה </w:t>
            </w:r>
            <w:proofErr w:type="spellStart"/>
            <w:r>
              <w:rPr>
                <w:rtl/>
              </w:rPr>
              <w:t>שנ</w:t>
            </w:r>
            <w:r w:rsidRPr="00E63AE7">
              <w:rPr>
                <w:rtl/>
              </w:rPr>
              <w:t>ת</w:t>
            </w:r>
            <w:r>
              <w:rPr>
                <w:rFonts w:hint="cs"/>
                <w:rtl/>
              </w:rPr>
              <w:t>ו</w:t>
            </w:r>
            <w:r w:rsidRPr="00E63AE7">
              <w:rPr>
                <w:rtl/>
              </w:rPr>
              <w:t>וספה</w:t>
            </w:r>
            <w:proofErr w:type="spellEnd"/>
            <w:r w:rsidRPr="00E63AE7">
              <w:rPr>
                <w:rtl/>
              </w:rPr>
              <w:t xml:space="preserve"> עליו תוספת פיגור, ייזקף תחי</w:t>
            </w:r>
            <w:r>
              <w:rPr>
                <w:rtl/>
              </w:rPr>
              <w:t>לה על חשבון תוספת הפיגור</w:t>
            </w:r>
            <w:r w:rsidRPr="00E63AE7">
              <w:rPr>
                <w:rtl/>
              </w:rPr>
              <w:t>.</w:t>
            </w:r>
          </w:p>
        </w:tc>
      </w:tr>
      <w:tr w:rsidR="000A70C2">
        <w:trPr>
          <w:cantSplit/>
          <w:trHeight w:val="60"/>
        </w:trPr>
        <w:tc>
          <w:tcPr>
            <w:tcW w:w="1871" w:type="dxa"/>
          </w:tcPr>
          <w:p w:rsidR="000A70C2" w:rsidRDefault="000A70C2" w:rsidP="000A70C2">
            <w:pPr>
              <w:pStyle w:val="TableSideHeading"/>
              <w:keepLines w:val="0"/>
            </w:pPr>
            <w:bookmarkStart w:id="33" w:name="_Toc74773766"/>
            <w:bookmarkStart w:id="34" w:name="_Toc75433140"/>
            <w:r>
              <w:rPr>
                <w:rFonts w:hint="cs"/>
                <w:rtl/>
              </w:rPr>
              <w:t>גבייה</w:t>
            </w:r>
            <w:bookmarkEnd w:id="33"/>
            <w:bookmarkEnd w:id="34"/>
          </w:p>
        </w:tc>
        <w:tc>
          <w:tcPr>
            <w:tcW w:w="624" w:type="dxa"/>
          </w:tcPr>
          <w:p w:rsidR="000A70C2" w:rsidRDefault="000A70C2" w:rsidP="00AB3999">
            <w:pPr>
              <w:pStyle w:val="TableText"/>
              <w:keepLines w:val="0"/>
              <w:numPr>
                <w:ilvl w:val="0"/>
                <w:numId w:val="3"/>
              </w:numPr>
            </w:pPr>
          </w:p>
        </w:tc>
        <w:tc>
          <w:tcPr>
            <w:tcW w:w="7146" w:type="dxa"/>
            <w:gridSpan w:val="5"/>
          </w:tcPr>
          <w:p w:rsidR="000A70C2" w:rsidRPr="00C34DE2" w:rsidRDefault="0082002F" w:rsidP="006D4373">
            <w:pPr>
              <w:pStyle w:val="TableBlock"/>
              <w:numPr>
                <w:ilvl w:val="0"/>
                <w:numId w:val="20"/>
              </w:numPr>
              <w:tabs>
                <w:tab w:val="left" w:pos="624"/>
              </w:tabs>
            </w:pPr>
            <w:r>
              <w:rPr>
                <w:rFonts w:hint="cs"/>
                <w:rtl/>
              </w:rPr>
              <w:t>קנס הפרה</w:t>
            </w:r>
            <w:r w:rsidR="000A70C2" w:rsidRPr="001E2017">
              <w:rPr>
                <w:rtl/>
              </w:rPr>
              <w:t xml:space="preserve"> </w:t>
            </w:r>
            <w:r w:rsidR="00A40AE3">
              <w:rPr>
                <w:rFonts w:hint="cs"/>
                <w:rtl/>
              </w:rPr>
              <w:t xml:space="preserve">וכן כל סכום שיפסוק בית דין לתעבורה לטובת המדינה, </w:t>
            </w:r>
            <w:r w:rsidR="000A70C2" w:rsidRPr="001E2017">
              <w:rPr>
                <w:rtl/>
              </w:rPr>
              <w:t>ייגב</w:t>
            </w:r>
            <w:r w:rsidR="00A40AE3">
              <w:rPr>
                <w:rFonts w:hint="cs"/>
                <w:rtl/>
              </w:rPr>
              <w:t>ו</w:t>
            </w:r>
            <w:r w:rsidR="000A70C2" w:rsidRPr="001E2017">
              <w:rPr>
                <w:rtl/>
              </w:rPr>
              <w:t xml:space="preserve"> לאוצר המדינה, ועל גביית</w:t>
            </w:r>
            <w:r w:rsidR="00A40AE3">
              <w:rPr>
                <w:rFonts w:hint="cs"/>
                <w:rtl/>
              </w:rPr>
              <w:t>ם</w:t>
            </w:r>
            <w:r w:rsidR="000A70C2" w:rsidRPr="001E2017">
              <w:rPr>
                <w:rtl/>
              </w:rPr>
              <w:t xml:space="preserve"> </w:t>
            </w:r>
            <w:r w:rsidR="000A70C2" w:rsidRPr="001E2017">
              <w:rPr>
                <w:rFonts w:hint="cs"/>
                <w:rtl/>
              </w:rPr>
              <w:t>י</w:t>
            </w:r>
            <w:r w:rsidR="000A70C2" w:rsidRPr="001E2017">
              <w:rPr>
                <w:rtl/>
              </w:rPr>
              <w:t xml:space="preserve">חול </w:t>
            </w:r>
            <w:r w:rsidR="006D4373">
              <w:rPr>
                <w:rFonts w:hint="cs"/>
                <w:rtl/>
              </w:rPr>
              <w:t>חוק המרכז לגביית קנסות</w:t>
            </w:r>
            <w:r w:rsidR="000A70C2" w:rsidRPr="001E2017">
              <w:rPr>
                <w:rFonts w:hint="cs"/>
                <w:rtl/>
              </w:rPr>
              <w:t>.</w:t>
            </w:r>
          </w:p>
        </w:tc>
      </w:tr>
      <w:tr w:rsidR="000A70C2">
        <w:trPr>
          <w:cantSplit/>
          <w:trHeight w:val="60"/>
        </w:trPr>
        <w:tc>
          <w:tcPr>
            <w:tcW w:w="1871" w:type="dxa"/>
          </w:tcPr>
          <w:p w:rsidR="000A70C2" w:rsidRDefault="000A70C2" w:rsidP="000A70C2">
            <w:pPr>
              <w:pStyle w:val="TableSideHeading"/>
              <w:keepLines w:val="0"/>
              <w:rPr>
                <w:rtl/>
              </w:rPr>
            </w:pPr>
          </w:p>
        </w:tc>
        <w:tc>
          <w:tcPr>
            <w:tcW w:w="624" w:type="dxa"/>
          </w:tcPr>
          <w:p w:rsidR="000A70C2" w:rsidRDefault="000A70C2" w:rsidP="000A70C2">
            <w:pPr>
              <w:pStyle w:val="TableText"/>
            </w:pPr>
          </w:p>
        </w:tc>
        <w:tc>
          <w:tcPr>
            <w:tcW w:w="7146" w:type="dxa"/>
            <w:gridSpan w:val="5"/>
          </w:tcPr>
          <w:p w:rsidR="000A70C2" w:rsidRPr="00FE1884" w:rsidRDefault="000A70C2" w:rsidP="0082002F">
            <w:pPr>
              <w:pStyle w:val="TableBlock"/>
              <w:numPr>
                <w:ilvl w:val="0"/>
                <w:numId w:val="20"/>
              </w:numPr>
              <w:tabs>
                <w:tab w:val="left" w:pos="624"/>
              </w:tabs>
              <w:rPr>
                <w:rtl/>
              </w:rPr>
            </w:pPr>
            <w:r w:rsidRPr="00FE1884">
              <w:rPr>
                <w:rtl/>
              </w:rPr>
              <w:t>על אף האמור בסעיף 3(א) לחוק המרכז לגביית קנסות</w:t>
            </w:r>
            <w:r w:rsidRPr="00FE1884">
              <w:rPr>
                <w:rFonts w:hint="cs"/>
                <w:rtl/>
              </w:rPr>
              <w:t>,</w:t>
            </w:r>
            <w:r w:rsidRPr="00FE1884">
              <w:rPr>
                <w:rtl/>
              </w:rPr>
              <w:t xml:space="preserve"> </w:t>
            </w:r>
            <w:r w:rsidRPr="00FE1884">
              <w:rPr>
                <w:rFonts w:hint="cs"/>
                <w:rtl/>
              </w:rPr>
              <w:t xml:space="preserve">קנס </w:t>
            </w:r>
            <w:r w:rsidR="0082002F" w:rsidRPr="00FE1884">
              <w:rPr>
                <w:rFonts w:hint="cs"/>
                <w:rtl/>
              </w:rPr>
              <w:t xml:space="preserve">הפרה </w:t>
            </w:r>
            <w:r w:rsidRPr="00FE1884">
              <w:rPr>
                <w:rFonts w:hint="cs"/>
                <w:rtl/>
              </w:rPr>
              <w:t>ישולם</w:t>
            </w:r>
            <w:r w:rsidRPr="00FE1884">
              <w:rPr>
                <w:rtl/>
              </w:rPr>
              <w:t xml:space="preserve"> למרכז לגביית קנסות, אגרות והוצאות עד תום המועד הקבוע </w:t>
            </w:r>
            <w:r w:rsidRPr="00FE1884">
              <w:rPr>
                <w:rFonts w:hint="eastAsia"/>
                <w:rtl/>
              </w:rPr>
              <w:t>בסעיף</w:t>
            </w:r>
            <w:r w:rsidRPr="00FE1884">
              <w:rPr>
                <w:rtl/>
              </w:rPr>
              <w:t xml:space="preserve"> </w:t>
            </w:r>
            <w:r w:rsidRPr="00FE1884">
              <w:rPr>
                <w:rFonts w:hint="cs"/>
                <w:rtl/>
              </w:rPr>
              <w:t>9</w:t>
            </w:r>
            <w:r w:rsidRPr="00FE1884">
              <w:rPr>
                <w:rtl/>
              </w:rPr>
              <w:t>, אף אם טרם הגיע מועד פירעונו; ואולם המרכז לגביית קנסות, אגרות והוצאות לא יפעל בהליכי גבייה לפי החוק האמור אלא בחלוף המועד לתשלום החוב</w:t>
            </w:r>
            <w:r w:rsidRPr="00FE1884">
              <w:rPr>
                <w:rFonts w:hint="cs"/>
                <w:rtl/>
              </w:rPr>
              <w:t>.</w:t>
            </w:r>
          </w:p>
        </w:tc>
      </w:tr>
      <w:tr w:rsidR="000A70C2">
        <w:trPr>
          <w:cantSplit/>
          <w:trHeight w:val="60"/>
        </w:trPr>
        <w:tc>
          <w:tcPr>
            <w:tcW w:w="1871" w:type="dxa"/>
          </w:tcPr>
          <w:p w:rsidR="000A70C2" w:rsidRDefault="000A70C2" w:rsidP="000A70C2">
            <w:pPr>
              <w:pStyle w:val="TableSideHeading"/>
              <w:keepLines w:val="0"/>
              <w:rPr>
                <w:rtl/>
              </w:rPr>
            </w:pPr>
          </w:p>
        </w:tc>
        <w:tc>
          <w:tcPr>
            <w:tcW w:w="624" w:type="dxa"/>
          </w:tcPr>
          <w:p w:rsidR="000A70C2" w:rsidRDefault="000A70C2" w:rsidP="000A70C2">
            <w:pPr>
              <w:pStyle w:val="TableText"/>
            </w:pPr>
          </w:p>
        </w:tc>
        <w:tc>
          <w:tcPr>
            <w:tcW w:w="7146" w:type="dxa"/>
            <w:gridSpan w:val="5"/>
          </w:tcPr>
          <w:p w:rsidR="000A70C2" w:rsidRPr="00D34A2A" w:rsidRDefault="000A70C2" w:rsidP="00A40AE3">
            <w:pPr>
              <w:pStyle w:val="TableBlock"/>
              <w:numPr>
                <w:ilvl w:val="0"/>
                <w:numId w:val="20"/>
              </w:numPr>
              <w:tabs>
                <w:tab w:val="left" w:pos="624"/>
              </w:tabs>
              <w:rPr>
                <w:rtl/>
              </w:rPr>
            </w:pPr>
            <w:r>
              <w:rPr>
                <w:rFonts w:hint="cs"/>
                <w:rtl/>
              </w:rPr>
              <w:t xml:space="preserve">על אף האמור בסעיף קטן (א), </w:t>
            </w:r>
            <w:r w:rsidRPr="00D20DA0">
              <w:rPr>
                <w:rtl/>
              </w:rPr>
              <w:t xml:space="preserve">קנס </w:t>
            </w:r>
            <w:r w:rsidR="0082002F">
              <w:rPr>
                <w:rFonts w:hint="cs"/>
                <w:rtl/>
              </w:rPr>
              <w:t xml:space="preserve">הפרה </w:t>
            </w:r>
            <w:r w:rsidRPr="00D20DA0">
              <w:rPr>
                <w:rtl/>
              </w:rPr>
              <w:t xml:space="preserve">שהטיל עובד רשות מקומית לפי </w:t>
            </w:r>
            <w:r>
              <w:rPr>
                <w:rFonts w:hint="cs"/>
                <w:rtl/>
              </w:rPr>
              <w:t>חוק</w:t>
            </w:r>
            <w:r w:rsidRPr="00D20DA0">
              <w:rPr>
                <w:rtl/>
              </w:rPr>
              <w:t xml:space="preserve"> זה, או שהטיל בית </w:t>
            </w:r>
            <w:r>
              <w:rPr>
                <w:rFonts w:hint="cs"/>
                <w:rtl/>
              </w:rPr>
              <w:t>דין לתעבורה או בית משפט</w:t>
            </w:r>
            <w:r w:rsidRPr="00D20DA0">
              <w:rPr>
                <w:rtl/>
              </w:rPr>
              <w:t xml:space="preserve"> בשל הפעלת סמכות הרשות המקומית לפי </w:t>
            </w:r>
            <w:r>
              <w:rPr>
                <w:rFonts w:hint="cs"/>
                <w:rtl/>
              </w:rPr>
              <w:t>חוק זה</w:t>
            </w:r>
            <w:r w:rsidRPr="00D20DA0">
              <w:rPr>
                <w:rtl/>
              </w:rPr>
              <w:t xml:space="preserve">, </w:t>
            </w:r>
            <w:r w:rsidR="00A40AE3">
              <w:rPr>
                <w:rFonts w:hint="cs"/>
                <w:rtl/>
              </w:rPr>
              <w:t xml:space="preserve">לרבות הוצאות משפט ככל שנפסקו, </w:t>
            </w:r>
            <w:r w:rsidRPr="00D20DA0">
              <w:rPr>
                <w:rtl/>
              </w:rPr>
              <w:t>ישול</w:t>
            </w:r>
            <w:r w:rsidR="00A40AE3">
              <w:rPr>
                <w:rFonts w:hint="cs"/>
                <w:rtl/>
              </w:rPr>
              <w:t>מו</w:t>
            </w:r>
            <w:r w:rsidRPr="00D20DA0">
              <w:rPr>
                <w:rtl/>
              </w:rPr>
              <w:t xml:space="preserve"> לקופת הרשות המקומית</w:t>
            </w:r>
            <w:r w:rsidRPr="00D20DA0">
              <w:t>.</w:t>
            </w:r>
          </w:p>
        </w:tc>
      </w:tr>
      <w:tr w:rsidR="000A70C2">
        <w:trPr>
          <w:cantSplit/>
          <w:trHeight w:val="60"/>
        </w:trPr>
        <w:tc>
          <w:tcPr>
            <w:tcW w:w="1871" w:type="dxa"/>
          </w:tcPr>
          <w:p w:rsidR="000A70C2" w:rsidRDefault="000A70C2">
            <w:pPr>
              <w:pStyle w:val="TableSideHeading"/>
            </w:pPr>
          </w:p>
        </w:tc>
        <w:tc>
          <w:tcPr>
            <w:tcW w:w="624" w:type="dxa"/>
          </w:tcPr>
          <w:p w:rsidR="000A70C2" w:rsidRDefault="000A70C2">
            <w:pPr>
              <w:pStyle w:val="TableText"/>
            </w:pPr>
          </w:p>
        </w:tc>
        <w:tc>
          <w:tcPr>
            <w:tcW w:w="7146" w:type="dxa"/>
            <w:gridSpan w:val="5"/>
          </w:tcPr>
          <w:p w:rsidR="000A70C2" w:rsidRPr="000A70C2" w:rsidRDefault="000A70C2" w:rsidP="000A70C2">
            <w:pPr>
              <w:pStyle w:val="TableHead"/>
              <w:outlineLvl w:val="9"/>
            </w:pPr>
            <w:bookmarkStart w:id="35" w:name="_Toc75433141"/>
            <w:r w:rsidRPr="000A70C2">
              <w:rPr>
                <w:rFonts w:hint="eastAsia"/>
                <w:rtl/>
              </w:rPr>
              <w:t>פרק</w:t>
            </w:r>
            <w:r w:rsidRPr="000A70C2">
              <w:rPr>
                <w:rtl/>
              </w:rPr>
              <w:t xml:space="preserve"> </w:t>
            </w:r>
            <w:r w:rsidRPr="000A70C2">
              <w:rPr>
                <w:rFonts w:hint="cs"/>
                <w:rtl/>
              </w:rPr>
              <w:t>ג</w:t>
            </w:r>
            <w:r w:rsidRPr="000A70C2">
              <w:rPr>
                <w:rtl/>
              </w:rPr>
              <w:t xml:space="preserve">': </w:t>
            </w:r>
            <w:r w:rsidRPr="000A70C2">
              <w:rPr>
                <w:rFonts w:hint="eastAsia"/>
                <w:rtl/>
              </w:rPr>
              <w:t>בית</w:t>
            </w:r>
            <w:r w:rsidRPr="000A70C2">
              <w:rPr>
                <w:rtl/>
              </w:rPr>
              <w:t xml:space="preserve"> </w:t>
            </w:r>
            <w:r w:rsidRPr="000A70C2">
              <w:rPr>
                <w:rFonts w:hint="eastAsia"/>
                <w:rtl/>
              </w:rPr>
              <w:t>דין</w:t>
            </w:r>
            <w:r w:rsidRPr="000A70C2">
              <w:rPr>
                <w:rtl/>
              </w:rPr>
              <w:t xml:space="preserve"> </w:t>
            </w:r>
            <w:r w:rsidRPr="000A70C2">
              <w:rPr>
                <w:rFonts w:hint="eastAsia"/>
                <w:rtl/>
              </w:rPr>
              <w:t>לתעבורה</w:t>
            </w:r>
            <w:bookmarkEnd w:id="35"/>
          </w:p>
        </w:tc>
      </w:tr>
      <w:tr w:rsidR="000A70C2">
        <w:trPr>
          <w:cantSplit/>
          <w:trHeight w:val="60"/>
        </w:trPr>
        <w:tc>
          <w:tcPr>
            <w:tcW w:w="1871" w:type="dxa"/>
          </w:tcPr>
          <w:p w:rsidR="000A70C2" w:rsidRDefault="000A70C2" w:rsidP="000A70C2">
            <w:pPr>
              <w:pStyle w:val="TableSideHeading"/>
              <w:keepLines w:val="0"/>
            </w:pPr>
            <w:bookmarkStart w:id="36" w:name="_Toc74773767"/>
            <w:bookmarkStart w:id="37" w:name="_Toc75433142"/>
            <w:r>
              <w:rPr>
                <w:rFonts w:hint="cs"/>
                <w:rtl/>
              </w:rPr>
              <w:t>בית דין לתעבורה</w:t>
            </w:r>
            <w:bookmarkEnd w:id="36"/>
            <w:bookmarkEnd w:id="37"/>
          </w:p>
        </w:tc>
        <w:tc>
          <w:tcPr>
            <w:tcW w:w="624" w:type="dxa"/>
          </w:tcPr>
          <w:p w:rsidR="000A70C2" w:rsidRDefault="000A70C2" w:rsidP="00AB3999">
            <w:pPr>
              <w:pStyle w:val="TableText"/>
              <w:keepLines w:val="0"/>
              <w:numPr>
                <w:ilvl w:val="0"/>
                <w:numId w:val="3"/>
              </w:numPr>
            </w:pPr>
          </w:p>
        </w:tc>
        <w:tc>
          <w:tcPr>
            <w:tcW w:w="7146" w:type="dxa"/>
            <w:gridSpan w:val="5"/>
          </w:tcPr>
          <w:p w:rsidR="000A70C2" w:rsidRPr="00C34DE2" w:rsidRDefault="000A70C2" w:rsidP="000A70C2">
            <w:pPr>
              <w:pStyle w:val="TableBlock"/>
              <w:keepLines w:val="0"/>
            </w:pPr>
            <w:r w:rsidRPr="006A602D">
              <w:rPr>
                <w:rFonts w:hint="eastAsia"/>
                <w:rtl/>
              </w:rPr>
              <w:t>שר</w:t>
            </w:r>
            <w:r w:rsidRPr="006A602D">
              <w:rPr>
                <w:rtl/>
              </w:rPr>
              <w:t xml:space="preserve"> המשפטים </w:t>
            </w:r>
            <w:r w:rsidRPr="006A602D">
              <w:rPr>
                <w:rFonts w:hint="eastAsia"/>
                <w:rtl/>
              </w:rPr>
              <w:t>יקים</w:t>
            </w:r>
            <w:r w:rsidRPr="006A602D">
              <w:rPr>
                <w:rtl/>
              </w:rPr>
              <w:t xml:space="preserve"> </w:t>
            </w:r>
            <w:r w:rsidRPr="006A602D">
              <w:rPr>
                <w:rFonts w:hint="eastAsia"/>
                <w:rtl/>
              </w:rPr>
              <w:t>בית</w:t>
            </w:r>
            <w:r w:rsidRPr="006A602D">
              <w:rPr>
                <w:rtl/>
              </w:rPr>
              <w:t xml:space="preserve"> דין, אחד או יותר, </w:t>
            </w:r>
            <w:r w:rsidRPr="006A602D">
              <w:rPr>
                <w:rFonts w:hint="eastAsia"/>
                <w:rtl/>
              </w:rPr>
              <w:t>של</w:t>
            </w:r>
            <w:r w:rsidRPr="006A602D">
              <w:rPr>
                <w:rtl/>
              </w:rPr>
              <w:t xml:space="preserve"> דן יחיד, </w:t>
            </w:r>
            <w:r w:rsidRPr="006A602D">
              <w:rPr>
                <w:rFonts w:hint="eastAsia"/>
                <w:rtl/>
              </w:rPr>
              <w:t>שידון</w:t>
            </w:r>
            <w:r w:rsidRPr="006A602D">
              <w:rPr>
                <w:rtl/>
              </w:rPr>
              <w:t xml:space="preserve"> </w:t>
            </w:r>
            <w:proofErr w:type="spellStart"/>
            <w:r w:rsidRPr="006A602D">
              <w:rPr>
                <w:rFonts w:hint="eastAsia"/>
                <w:rtl/>
              </w:rPr>
              <w:t>בעררים</w:t>
            </w:r>
            <w:proofErr w:type="spellEnd"/>
            <w:r w:rsidRPr="006A602D">
              <w:rPr>
                <w:rtl/>
              </w:rPr>
              <w:t xml:space="preserve"> המוגשים </w:t>
            </w:r>
            <w:r w:rsidRPr="006A602D">
              <w:rPr>
                <w:rFonts w:hint="eastAsia"/>
                <w:rtl/>
              </w:rPr>
              <w:t>לפי</w:t>
            </w:r>
            <w:r w:rsidRPr="006A602D">
              <w:rPr>
                <w:rtl/>
              </w:rPr>
              <w:t xml:space="preserve"> </w:t>
            </w:r>
            <w:r w:rsidRPr="006A602D">
              <w:rPr>
                <w:rFonts w:hint="eastAsia"/>
                <w:rtl/>
              </w:rPr>
              <w:t>חוק</w:t>
            </w:r>
            <w:r w:rsidRPr="006A602D">
              <w:rPr>
                <w:rtl/>
              </w:rPr>
              <w:t xml:space="preserve"> </w:t>
            </w:r>
            <w:r w:rsidRPr="006A602D">
              <w:rPr>
                <w:rFonts w:hint="eastAsia"/>
                <w:rtl/>
              </w:rPr>
              <w:t>זה</w:t>
            </w:r>
            <w:r w:rsidRPr="006A602D">
              <w:rPr>
                <w:rtl/>
              </w:rPr>
              <w:t>.</w:t>
            </w:r>
          </w:p>
        </w:tc>
      </w:tr>
      <w:tr w:rsidR="000A70C2">
        <w:trPr>
          <w:cantSplit/>
          <w:trHeight w:val="60"/>
        </w:trPr>
        <w:tc>
          <w:tcPr>
            <w:tcW w:w="1871" w:type="dxa"/>
          </w:tcPr>
          <w:p w:rsidR="000A70C2" w:rsidRDefault="000A70C2" w:rsidP="000A70C2">
            <w:pPr>
              <w:pStyle w:val="TableSideHeading"/>
              <w:keepLines w:val="0"/>
            </w:pPr>
            <w:bookmarkStart w:id="38" w:name="_Toc74773768"/>
            <w:bookmarkStart w:id="39" w:name="_Toc75433143"/>
            <w:r>
              <w:rPr>
                <w:rFonts w:hint="cs"/>
                <w:rtl/>
              </w:rPr>
              <w:t>מינוי דיינים בבית דין לתעבורה</w:t>
            </w:r>
            <w:bookmarkEnd w:id="38"/>
            <w:bookmarkEnd w:id="39"/>
          </w:p>
        </w:tc>
        <w:tc>
          <w:tcPr>
            <w:tcW w:w="624" w:type="dxa"/>
          </w:tcPr>
          <w:p w:rsidR="000A70C2" w:rsidRDefault="000A70C2" w:rsidP="00AB3999">
            <w:pPr>
              <w:pStyle w:val="TableText"/>
              <w:keepLines w:val="0"/>
              <w:numPr>
                <w:ilvl w:val="0"/>
                <w:numId w:val="3"/>
              </w:numPr>
            </w:pPr>
          </w:p>
        </w:tc>
        <w:tc>
          <w:tcPr>
            <w:tcW w:w="7146" w:type="dxa"/>
            <w:gridSpan w:val="5"/>
          </w:tcPr>
          <w:p w:rsidR="000A70C2" w:rsidRPr="00C34DE2" w:rsidRDefault="000A70C2" w:rsidP="00AB3999">
            <w:pPr>
              <w:pStyle w:val="TableBlock"/>
              <w:numPr>
                <w:ilvl w:val="0"/>
                <w:numId w:val="21"/>
              </w:numPr>
              <w:tabs>
                <w:tab w:val="left" w:pos="624"/>
              </w:tabs>
            </w:pPr>
            <w:r w:rsidRPr="00E65075">
              <w:rPr>
                <w:rFonts w:hint="eastAsia"/>
                <w:rtl/>
              </w:rPr>
              <w:t>שר</w:t>
            </w:r>
            <w:r w:rsidRPr="00E65075">
              <w:rPr>
                <w:rtl/>
              </w:rPr>
              <w:t xml:space="preserve"> המשפטים ימנה דיין בית דין לתעבורה </w:t>
            </w:r>
            <w:r w:rsidRPr="00E65075">
              <w:rPr>
                <w:rFonts w:hint="eastAsia"/>
                <w:rtl/>
              </w:rPr>
              <w:t>ל</w:t>
            </w:r>
            <w:r w:rsidRPr="005479A2">
              <w:rPr>
                <w:rFonts w:hint="eastAsia"/>
                <w:rtl/>
              </w:rPr>
              <w:t>פי</w:t>
            </w:r>
            <w:r w:rsidRPr="005479A2">
              <w:rPr>
                <w:rtl/>
              </w:rPr>
              <w:t xml:space="preserve"> </w:t>
            </w:r>
            <w:r w:rsidRPr="005479A2">
              <w:rPr>
                <w:rFonts w:hint="eastAsia"/>
                <w:rtl/>
              </w:rPr>
              <w:t>בחירת</w:t>
            </w:r>
            <w:r w:rsidRPr="005479A2">
              <w:rPr>
                <w:rtl/>
              </w:rPr>
              <w:t xml:space="preserve"> </w:t>
            </w:r>
            <w:r w:rsidRPr="005479A2">
              <w:rPr>
                <w:rFonts w:hint="eastAsia"/>
                <w:rtl/>
              </w:rPr>
              <w:t>ועדה</w:t>
            </w:r>
            <w:r w:rsidRPr="005479A2">
              <w:rPr>
                <w:rtl/>
              </w:rPr>
              <w:t xml:space="preserve">, </w:t>
            </w:r>
            <w:r w:rsidRPr="005479A2">
              <w:rPr>
                <w:rFonts w:hint="eastAsia"/>
                <w:rtl/>
              </w:rPr>
              <w:t>שחבריה</w:t>
            </w:r>
            <w:r w:rsidRPr="005479A2">
              <w:rPr>
                <w:rtl/>
              </w:rPr>
              <w:t xml:space="preserve"> </w:t>
            </w:r>
            <w:r w:rsidRPr="005479A2">
              <w:rPr>
                <w:rFonts w:hint="eastAsia"/>
                <w:rtl/>
              </w:rPr>
              <w:t>הם</w:t>
            </w:r>
            <w:r w:rsidRPr="005479A2">
              <w:rPr>
                <w:rtl/>
              </w:rPr>
              <w:t>:</w:t>
            </w:r>
          </w:p>
        </w:tc>
      </w:tr>
      <w:tr w:rsidR="000A70C2">
        <w:trPr>
          <w:cantSplit/>
          <w:trHeight w:val="60"/>
        </w:trPr>
        <w:tc>
          <w:tcPr>
            <w:tcW w:w="1871" w:type="dxa"/>
          </w:tcPr>
          <w:p w:rsidR="000A70C2" w:rsidRDefault="000A70C2">
            <w:pPr>
              <w:pStyle w:val="TableSideHeading"/>
            </w:pPr>
          </w:p>
        </w:tc>
        <w:tc>
          <w:tcPr>
            <w:tcW w:w="624" w:type="dxa"/>
          </w:tcPr>
          <w:p w:rsidR="000A70C2" w:rsidRDefault="000A70C2">
            <w:pPr>
              <w:pStyle w:val="TableText"/>
            </w:pPr>
          </w:p>
        </w:tc>
        <w:tc>
          <w:tcPr>
            <w:tcW w:w="624" w:type="dxa"/>
          </w:tcPr>
          <w:p w:rsidR="000A70C2" w:rsidRDefault="000A70C2">
            <w:pPr>
              <w:pStyle w:val="TableText"/>
            </w:pPr>
          </w:p>
        </w:tc>
        <w:tc>
          <w:tcPr>
            <w:tcW w:w="6522" w:type="dxa"/>
            <w:gridSpan w:val="4"/>
          </w:tcPr>
          <w:p w:rsidR="000A70C2" w:rsidRDefault="000A70C2" w:rsidP="00AB3999">
            <w:pPr>
              <w:pStyle w:val="TableBlock"/>
              <w:numPr>
                <w:ilvl w:val="0"/>
                <w:numId w:val="22"/>
              </w:numPr>
              <w:tabs>
                <w:tab w:val="left" w:pos="624"/>
              </w:tabs>
            </w:pPr>
            <w:r>
              <w:rPr>
                <w:rFonts w:hint="cs"/>
                <w:rtl/>
              </w:rPr>
              <w:t>שופט בדימוס שימנה שר המשפטים בהסכמת נשיא בית המשפט העליון, והוא יהיה יושב הראש;</w:t>
            </w:r>
          </w:p>
        </w:tc>
      </w:tr>
      <w:tr w:rsidR="000A70C2">
        <w:trPr>
          <w:cantSplit/>
          <w:trHeight w:val="60"/>
        </w:trPr>
        <w:tc>
          <w:tcPr>
            <w:tcW w:w="1871" w:type="dxa"/>
          </w:tcPr>
          <w:p w:rsidR="000A70C2" w:rsidRDefault="000A70C2">
            <w:pPr>
              <w:pStyle w:val="TableSideHeading"/>
            </w:pPr>
          </w:p>
        </w:tc>
        <w:tc>
          <w:tcPr>
            <w:tcW w:w="624" w:type="dxa"/>
          </w:tcPr>
          <w:p w:rsidR="000A70C2" w:rsidRDefault="000A70C2" w:rsidP="000A70C2">
            <w:pPr>
              <w:pStyle w:val="TableText"/>
            </w:pPr>
          </w:p>
        </w:tc>
        <w:tc>
          <w:tcPr>
            <w:tcW w:w="624" w:type="dxa"/>
          </w:tcPr>
          <w:p w:rsidR="000A70C2" w:rsidRDefault="000A70C2">
            <w:pPr>
              <w:pStyle w:val="TableText"/>
            </w:pPr>
          </w:p>
        </w:tc>
        <w:tc>
          <w:tcPr>
            <w:tcW w:w="6522" w:type="dxa"/>
            <w:gridSpan w:val="4"/>
          </w:tcPr>
          <w:p w:rsidR="000A70C2" w:rsidRDefault="000A70C2" w:rsidP="00AB3999">
            <w:pPr>
              <w:pStyle w:val="TableBlock"/>
              <w:numPr>
                <w:ilvl w:val="0"/>
                <w:numId w:val="22"/>
              </w:numPr>
              <w:tabs>
                <w:tab w:val="left" w:pos="624"/>
              </w:tabs>
            </w:pPr>
            <w:r>
              <w:rPr>
                <w:rFonts w:hint="cs"/>
                <w:rtl/>
              </w:rPr>
              <w:t>ראש בית דין לתעבורה;</w:t>
            </w:r>
          </w:p>
        </w:tc>
      </w:tr>
      <w:tr w:rsidR="000A70C2">
        <w:trPr>
          <w:cantSplit/>
          <w:trHeight w:val="60"/>
        </w:trPr>
        <w:tc>
          <w:tcPr>
            <w:tcW w:w="1871" w:type="dxa"/>
          </w:tcPr>
          <w:p w:rsidR="000A70C2" w:rsidRDefault="000A70C2">
            <w:pPr>
              <w:pStyle w:val="TableSideHeading"/>
            </w:pPr>
          </w:p>
        </w:tc>
        <w:tc>
          <w:tcPr>
            <w:tcW w:w="624" w:type="dxa"/>
          </w:tcPr>
          <w:p w:rsidR="000A70C2" w:rsidRDefault="000A70C2" w:rsidP="000A70C2">
            <w:pPr>
              <w:pStyle w:val="TableText"/>
            </w:pPr>
          </w:p>
        </w:tc>
        <w:tc>
          <w:tcPr>
            <w:tcW w:w="624" w:type="dxa"/>
          </w:tcPr>
          <w:p w:rsidR="000A70C2" w:rsidRDefault="000A70C2">
            <w:pPr>
              <w:pStyle w:val="TableText"/>
            </w:pPr>
          </w:p>
        </w:tc>
        <w:tc>
          <w:tcPr>
            <w:tcW w:w="6522" w:type="dxa"/>
            <w:gridSpan w:val="4"/>
          </w:tcPr>
          <w:p w:rsidR="000A70C2" w:rsidRDefault="000A70C2" w:rsidP="006D4373">
            <w:pPr>
              <w:pStyle w:val="TableBlock"/>
              <w:numPr>
                <w:ilvl w:val="0"/>
                <w:numId w:val="22"/>
              </w:numPr>
              <w:tabs>
                <w:tab w:val="left" w:pos="624"/>
              </w:tabs>
            </w:pPr>
            <w:r>
              <w:rPr>
                <w:rFonts w:hint="cs"/>
                <w:rtl/>
              </w:rPr>
              <w:t>נציג ציבור</w:t>
            </w:r>
            <w:r w:rsidRPr="00D34A2A">
              <w:rPr>
                <w:rFonts w:hint="cs"/>
                <w:rtl/>
              </w:rPr>
              <w:t xml:space="preserve"> הבקיא בתחומי המשפט </w:t>
            </w:r>
            <w:proofErr w:type="spellStart"/>
            <w:r w:rsidRPr="00D34A2A">
              <w:rPr>
                <w:rFonts w:hint="cs"/>
                <w:rtl/>
              </w:rPr>
              <w:t>המינהלי</w:t>
            </w:r>
            <w:proofErr w:type="spellEnd"/>
            <w:r w:rsidRPr="00D34A2A">
              <w:rPr>
                <w:rFonts w:hint="cs"/>
                <w:rtl/>
              </w:rPr>
              <w:t xml:space="preserve"> או דיני התעבורה, שימנה נציב שירות המדינה </w:t>
            </w:r>
            <w:r>
              <w:rPr>
                <w:rFonts w:hint="cs"/>
                <w:rtl/>
              </w:rPr>
              <w:t>בהסכמת</w:t>
            </w:r>
            <w:r w:rsidRPr="00D34A2A">
              <w:rPr>
                <w:rFonts w:hint="cs"/>
                <w:rtl/>
              </w:rPr>
              <w:t xml:space="preserve"> היועץ המשפטי לממשלה.</w:t>
            </w:r>
          </w:p>
        </w:tc>
      </w:tr>
      <w:tr w:rsidR="000A70C2">
        <w:trPr>
          <w:cantSplit/>
          <w:trHeight w:val="60"/>
        </w:trPr>
        <w:tc>
          <w:tcPr>
            <w:tcW w:w="1871" w:type="dxa"/>
          </w:tcPr>
          <w:p w:rsidR="000A70C2" w:rsidRDefault="000A70C2">
            <w:pPr>
              <w:pStyle w:val="TableSideHeading"/>
            </w:pPr>
          </w:p>
        </w:tc>
        <w:tc>
          <w:tcPr>
            <w:tcW w:w="624" w:type="dxa"/>
          </w:tcPr>
          <w:p w:rsidR="000A70C2" w:rsidRDefault="000A70C2">
            <w:pPr>
              <w:pStyle w:val="TableText"/>
            </w:pPr>
          </w:p>
        </w:tc>
        <w:tc>
          <w:tcPr>
            <w:tcW w:w="7146" w:type="dxa"/>
            <w:gridSpan w:val="5"/>
          </w:tcPr>
          <w:p w:rsidR="000A70C2" w:rsidRPr="00C34DE2" w:rsidRDefault="000A70C2" w:rsidP="00AB3999">
            <w:pPr>
              <w:pStyle w:val="TableBlock"/>
              <w:numPr>
                <w:ilvl w:val="0"/>
                <w:numId w:val="21"/>
              </w:numPr>
              <w:tabs>
                <w:tab w:val="left" w:pos="624"/>
              </w:tabs>
            </w:pPr>
            <w:r w:rsidRPr="00C52AAE">
              <w:rPr>
                <w:rFonts w:hint="cs"/>
                <w:rtl/>
              </w:rPr>
              <w:t>שר המשפטים ימנה ראש בית דין לתעבורה ל</w:t>
            </w:r>
            <w:r w:rsidR="00046741">
              <w:rPr>
                <w:rFonts w:hint="cs"/>
                <w:rtl/>
              </w:rPr>
              <w:t xml:space="preserve">פי </w:t>
            </w:r>
            <w:r w:rsidRPr="00C52AAE">
              <w:rPr>
                <w:rFonts w:hint="cs"/>
                <w:rtl/>
              </w:rPr>
              <w:t>בחירת ועד</w:t>
            </w:r>
            <w:r w:rsidRPr="00D34A2A">
              <w:rPr>
                <w:rFonts w:hint="cs"/>
                <w:rtl/>
              </w:rPr>
              <w:t>ה, שחבריה הם:</w:t>
            </w:r>
          </w:p>
        </w:tc>
      </w:tr>
      <w:tr w:rsidR="000A70C2">
        <w:trPr>
          <w:cantSplit/>
          <w:trHeight w:val="60"/>
        </w:trPr>
        <w:tc>
          <w:tcPr>
            <w:tcW w:w="1871" w:type="dxa"/>
          </w:tcPr>
          <w:p w:rsidR="000A70C2" w:rsidRDefault="000A70C2">
            <w:pPr>
              <w:pStyle w:val="TableSideHeading"/>
            </w:pPr>
          </w:p>
        </w:tc>
        <w:tc>
          <w:tcPr>
            <w:tcW w:w="624" w:type="dxa"/>
          </w:tcPr>
          <w:p w:rsidR="000A70C2" w:rsidRDefault="000A70C2">
            <w:pPr>
              <w:pStyle w:val="TableText"/>
            </w:pPr>
          </w:p>
        </w:tc>
        <w:tc>
          <w:tcPr>
            <w:tcW w:w="624" w:type="dxa"/>
          </w:tcPr>
          <w:p w:rsidR="000A70C2" w:rsidRDefault="000A70C2">
            <w:pPr>
              <w:pStyle w:val="TableText"/>
            </w:pPr>
          </w:p>
        </w:tc>
        <w:tc>
          <w:tcPr>
            <w:tcW w:w="6522" w:type="dxa"/>
            <w:gridSpan w:val="4"/>
          </w:tcPr>
          <w:p w:rsidR="000A70C2" w:rsidRDefault="000A70C2" w:rsidP="00AB3999">
            <w:pPr>
              <w:pStyle w:val="TableBlock"/>
              <w:numPr>
                <w:ilvl w:val="0"/>
                <w:numId w:val="23"/>
              </w:numPr>
              <w:tabs>
                <w:tab w:val="left" w:pos="624"/>
              </w:tabs>
            </w:pPr>
            <w:r w:rsidRPr="00C52AAE">
              <w:rPr>
                <w:rFonts w:hint="cs"/>
                <w:rtl/>
              </w:rPr>
              <w:t>המנהל הכללי של משרד המשפטים, והוא יהיה יושב הראש;</w:t>
            </w:r>
          </w:p>
        </w:tc>
      </w:tr>
      <w:tr w:rsidR="000A70C2">
        <w:trPr>
          <w:cantSplit/>
          <w:trHeight w:val="60"/>
        </w:trPr>
        <w:tc>
          <w:tcPr>
            <w:tcW w:w="1871" w:type="dxa"/>
          </w:tcPr>
          <w:p w:rsidR="000A70C2" w:rsidRDefault="000A70C2">
            <w:pPr>
              <w:pStyle w:val="TableSideHeading"/>
            </w:pPr>
          </w:p>
        </w:tc>
        <w:tc>
          <w:tcPr>
            <w:tcW w:w="624" w:type="dxa"/>
          </w:tcPr>
          <w:p w:rsidR="000A70C2" w:rsidRDefault="000A70C2" w:rsidP="000A70C2">
            <w:pPr>
              <w:pStyle w:val="TableText"/>
            </w:pPr>
          </w:p>
        </w:tc>
        <w:tc>
          <w:tcPr>
            <w:tcW w:w="624" w:type="dxa"/>
          </w:tcPr>
          <w:p w:rsidR="000A70C2" w:rsidRDefault="000A70C2">
            <w:pPr>
              <w:pStyle w:val="TableText"/>
            </w:pPr>
          </w:p>
        </w:tc>
        <w:tc>
          <w:tcPr>
            <w:tcW w:w="6522" w:type="dxa"/>
            <w:gridSpan w:val="4"/>
          </w:tcPr>
          <w:p w:rsidR="000A70C2" w:rsidRPr="00C52AAE" w:rsidRDefault="000A70C2" w:rsidP="00AB3999">
            <w:pPr>
              <w:pStyle w:val="TableBlock"/>
              <w:numPr>
                <w:ilvl w:val="0"/>
                <w:numId w:val="23"/>
              </w:numPr>
              <w:tabs>
                <w:tab w:val="left" w:pos="624"/>
              </w:tabs>
              <w:rPr>
                <w:rtl/>
              </w:rPr>
            </w:pPr>
            <w:r w:rsidRPr="00C52AAE">
              <w:rPr>
                <w:rFonts w:hint="cs"/>
                <w:rtl/>
              </w:rPr>
              <w:t xml:space="preserve">שופט בדימוס </w:t>
            </w:r>
            <w:r>
              <w:rPr>
                <w:rFonts w:hint="cs"/>
                <w:rtl/>
              </w:rPr>
              <w:t>ונציג ציבור</w:t>
            </w:r>
            <w:r w:rsidRPr="00D34A2A">
              <w:rPr>
                <w:rFonts w:hint="cs"/>
                <w:rtl/>
              </w:rPr>
              <w:t xml:space="preserve"> כאמור </w:t>
            </w:r>
            <w:r>
              <w:rPr>
                <w:rFonts w:hint="cs"/>
                <w:rtl/>
              </w:rPr>
              <w:t>ב</w:t>
            </w:r>
            <w:r w:rsidRPr="00D34A2A">
              <w:rPr>
                <w:rFonts w:hint="eastAsia"/>
                <w:rtl/>
              </w:rPr>
              <w:t>פסקאות</w:t>
            </w:r>
            <w:r w:rsidRPr="00D34A2A">
              <w:rPr>
                <w:rtl/>
              </w:rPr>
              <w:t xml:space="preserve"> (1) </w:t>
            </w:r>
            <w:r w:rsidRPr="00D34A2A">
              <w:rPr>
                <w:rFonts w:hint="eastAsia"/>
                <w:rtl/>
              </w:rPr>
              <w:t>ו</w:t>
            </w:r>
            <w:r w:rsidRPr="00C52AAE">
              <w:rPr>
                <w:rtl/>
              </w:rPr>
              <w:t>-(3)</w:t>
            </w:r>
            <w:r w:rsidR="006D4373">
              <w:rPr>
                <w:rFonts w:hint="cs"/>
                <w:rtl/>
              </w:rPr>
              <w:t xml:space="preserve"> </w:t>
            </w:r>
            <w:r>
              <w:rPr>
                <w:rFonts w:hint="cs"/>
                <w:rtl/>
              </w:rPr>
              <w:t>לסעיף קטן</w:t>
            </w:r>
            <w:r w:rsidRPr="00D34A2A">
              <w:rPr>
                <w:rFonts w:hint="cs"/>
                <w:rtl/>
              </w:rPr>
              <w:t xml:space="preserve"> </w:t>
            </w:r>
            <w:r w:rsidRPr="00D34A2A">
              <w:rPr>
                <w:rtl/>
              </w:rPr>
              <w:t>(א)</w:t>
            </w:r>
            <w:r w:rsidRPr="00C52AAE">
              <w:rPr>
                <w:rtl/>
              </w:rPr>
              <w:t>.</w:t>
            </w:r>
          </w:p>
        </w:tc>
      </w:tr>
      <w:tr w:rsidR="000A70C2">
        <w:trPr>
          <w:cantSplit/>
          <w:trHeight w:val="60"/>
        </w:trPr>
        <w:tc>
          <w:tcPr>
            <w:tcW w:w="1871" w:type="dxa"/>
          </w:tcPr>
          <w:p w:rsidR="000A70C2" w:rsidRDefault="000A70C2">
            <w:pPr>
              <w:pStyle w:val="TableSideHeading"/>
            </w:pPr>
          </w:p>
        </w:tc>
        <w:tc>
          <w:tcPr>
            <w:tcW w:w="624" w:type="dxa"/>
          </w:tcPr>
          <w:p w:rsidR="000A70C2" w:rsidRDefault="000A70C2">
            <w:pPr>
              <w:pStyle w:val="TableText"/>
            </w:pPr>
          </w:p>
        </w:tc>
        <w:tc>
          <w:tcPr>
            <w:tcW w:w="7146" w:type="dxa"/>
            <w:gridSpan w:val="5"/>
          </w:tcPr>
          <w:p w:rsidR="000A70C2" w:rsidRPr="00C34DE2" w:rsidRDefault="000A70C2" w:rsidP="00AB3999">
            <w:pPr>
              <w:pStyle w:val="TableBlock"/>
              <w:numPr>
                <w:ilvl w:val="0"/>
                <w:numId w:val="21"/>
              </w:numPr>
              <w:tabs>
                <w:tab w:val="left" w:pos="624"/>
              </w:tabs>
            </w:pPr>
            <w:r w:rsidRPr="005479A2">
              <w:rPr>
                <w:rFonts w:hint="cs"/>
                <w:rtl/>
              </w:rPr>
              <w:t xml:space="preserve">שר המשפטים רשאי, בהסכמת ראש בית דין לתעבורה, למנות כסגן ראש בית דין לתעבורה דיין אחד או יותר מתוך הדיינים של בית דין לתעבורה, שנבחרו בהתאם לסעיף קטן (א); פקעה כהונתו של סגן ראש בית הדין כדיין </w:t>
            </w:r>
            <w:r w:rsidRPr="005479A2">
              <w:rPr>
                <w:rtl/>
              </w:rPr>
              <w:t>–</w:t>
            </w:r>
            <w:r w:rsidRPr="005479A2">
              <w:rPr>
                <w:rFonts w:hint="cs"/>
                <w:rtl/>
              </w:rPr>
              <w:t xml:space="preserve"> תפקע כהונתו כסגן ראש בית דין לתעבורה.</w:t>
            </w:r>
          </w:p>
        </w:tc>
      </w:tr>
      <w:tr w:rsidR="000A70C2">
        <w:trPr>
          <w:cantSplit/>
          <w:trHeight w:val="60"/>
        </w:trPr>
        <w:tc>
          <w:tcPr>
            <w:tcW w:w="1871" w:type="dxa"/>
          </w:tcPr>
          <w:p w:rsidR="000A70C2" w:rsidRDefault="000A70C2">
            <w:pPr>
              <w:pStyle w:val="TableSideHeading"/>
            </w:pPr>
          </w:p>
        </w:tc>
        <w:tc>
          <w:tcPr>
            <w:tcW w:w="624" w:type="dxa"/>
          </w:tcPr>
          <w:p w:rsidR="000A70C2" w:rsidRDefault="000A70C2" w:rsidP="000A70C2">
            <w:pPr>
              <w:pStyle w:val="TableText"/>
            </w:pPr>
          </w:p>
        </w:tc>
        <w:tc>
          <w:tcPr>
            <w:tcW w:w="7146" w:type="dxa"/>
            <w:gridSpan w:val="5"/>
          </w:tcPr>
          <w:p w:rsidR="000A70C2" w:rsidRPr="005479A2" w:rsidRDefault="000A70C2" w:rsidP="00AB3999">
            <w:pPr>
              <w:pStyle w:val="TableBlock"/>
              <w:numPr>
                <w:ilvl w:val="0"/>
                <w:numId w:val="21"/>
              </w:numPr>
              <w:tabs>
                <w:tab w:val="left" w:pos="624"/>
              </w:tabs>
              <w:rPr>
                <w:rtl/>
              </w:rPr>
            </w:pPr>
            <w:r>
              <w:rPr>
                <w:rFonts w:hint="cs"/>
                <w:rtl/>
              </w:rPr>
              <w:t>לא ימונה דיין בית דין לתעבורה או ראש בית הדין לתעבורה, אלא אזרח ישראלי הכשיר להתמנות כשופט בית משפט שלום.</w:t>
            </w:r>
          </w:p>
        </w:tc>
      </w:tr>
      <w:tr w:rsidR="000A70C2">
        <w:trPr>
          <w:cantSplit/>
          <w:trHeight w:val="60"/>
        </w:trPr>
        <w:tc>
          <w:tcPr>
            <w:tcW w:w="1871" w:type="dxa"/>
          </w:tcPr>
          <w:p w:rsidR="000A70C2" w:rsidRDefault="000A70C2">
            <w:pPr>
              <w:pStyle w:val="TableSideHeading"/>
            </w:pPr>
          </w:p>
        </w:tc>
        <w:tc>
          <w:tcPr>
            <w:tcW w:w="624" w:type="dxa"/>
          </w:tcPr>
          <w:p w:rsidR="000A70C2" w:rsidRDefault="000A70C2" w:rsidP="000A70C2">
            <w:pPr>
              <w:pStyle w:val="TableText"/>
            </w:pPr>
          </w:p>
        </w:tc>
        <w:tc>
          <w:tcPr>
            <w:tcW w:w="7146" w:type="dxa"/>
            <w:gridSpan w:val="5"/>
          </w:tcPr>
          <w:p w:rsidR="000A70C2" w:rsidRDefault="000A70C2" w:rsidP="00AB3999">
            <w:pPr>
              <w:pStyle w:val="TableBlock"/>
              <w:numPr>
                <w:ilvl w:val="0"/>
                <w:numId w:val="21"/>
              </w:numPr>
              <w:tabs>
                <w:tab w:val="left" w:pos="624"/>
              </w:tabs>
              <w:rPr>
                <w:rtl/>
              </w:rPr>
            </w:pPr>
            <w:r>
              <w:rPr>
                <w:rFonts w:hint="cs"/>
                <w:rtl/>
              </w:rPr>
              <w:t>הודעה על מינוי דיין, סגן ראש בית דין לתעבורה וראש בית דין לתעבורה לפי סעיף זה תפורסם ברשומות ובאתר האינטרנט של בית הדין לתעבורה.</w:t>
            </w:r>
          </w:p>
        </w:tc>
      </w:tr>
      <w:tr w:rsidR="000A70C2">
        <w:trPr>
          <w:cantSplit/>
          <w:trHeight w:val="60"/>
        </w:trPr>
        <w:tc>
          <w:tcPr>
            <w:tcW w:w="1871" w:type="dxa"/>
          </w:tcPr>
          <w:p w:rsidR="000A70C2" w:rsidRDefault="000A70C2" w:rsidP="000A70C2">
            <w:pPr>
              <w:pStyle w:val="TableSideHeading"/>
              <w:keepLines w:val="0"/>
            </w:pPr>
            <w:bookmarkStart w:id="40" w:name="_Toc74773769"/>
            <w:bookmarkStart w:id="41" w:name="_Toc75433144"/>
            <w:r>
              <w:rPr>
                <w:rFonts w:hint="cs"/>
                <w:rtl/>
              </w:rPr>
              <w:t xml:space="preserve">דיין </w:t>
            </w:r>
            <w:r>
              <w:rPr>
                <w:rtl/>
              </w:rPr>
              <w:t>–</w:t>
            </w:r>
            <w:r>
              <w:rPr>
                <w:rFonts w:hint="cs"/>
                <w:rtl/>
              </w:rPr>
              <w:t xml:space="preserve"> עובד מדינה</w:t>
            </w:r>
            <w:bookmarkEnd w:id="40"/>
            <w:bookmarkEnd w:id="41"/>
          </w:p>
        </w:tc>
        <w:tc>
          <w:tcPr>
            <w:tcW w:w="624" w:type="dxa"/>
          </w:tcPr>
          <w:p w:rsidR="000A70C2" w:rsidRDefault="000A70C2" w:rsidP="00AB3999">
            <w:pPr>
              <w:pStyle w:val="TableText"/>
              <w:keepLines w:val="0"/>
              <w:numPr>
                <w:ilvl w:val="0"/>
                <w:numId w:val="3"/>
              </w:numPr>
            </w:pPr>
          </w:p>
        </w:tc>
        <w:tc>
          <w:tcPr>
            <w:tcW w:w="7146" w:type="dxa"/>
            <w:gridSpan w:val="5"/>
          </w:tcPr>
          <w:p w:rsidR="000A70C2" w:rsidRPr="00C34DE2" w:rsidRDefault="000A70C2" w:rsidP="000A70C2">
            <w:pPr>
              <w:pStyle w:val="TableBlock"/>
              <w:keepLines w:val="0"/>
            </w:pPr>
            <w:r>
              <w:rPr>
                <w:rFonts w:hint="cs"/>
                <w:rtl/>
              </w:rPr>
              <w:t>דיין בית דין לתעבורה וראש בית דין לתעבורה יהיו עובדי מדינה.</w:t>
            </w:r>
          </w:p>
        </w:tc>
      </w:tr>
      <w:tr w:rsidR="000A70C2">
        <w:trPr>
          <w:cantSplit/>
          <w:trHeight w:val="60"/>
        </w:trPr>
        <w:tc>
          <w:tcPr>
            <w:tcW w:w="1871" w:type="dxa"/>
          </w:tcPr>
          <w:p w:rsidR="000A70C2" w:rsidRDefault="000A70C2" w:rsidP="000A70C2">
            <w:pPr>
              <w:pStyle w:val="TableSideHeading"/>
              <w:keepLines w:val="0"/>
            </w:pPr>
            <w:bookmarkStart w:id="42" w:name="_Toc74773770"/>
            <w:bookmarkStart w:id="43" w:name="_Toc75433145"/>
            <w:r>
              <w:rPr>
                <w:rFonts w:hint="cs"/>
                <w:rtl/>
              </w:rPr>
              <w:t>תקופת כהונה</w:t>
            </w:r>
            <w:bookmarkEnd w:id="42"/>
            <w:bookmarkEnd w:id="43"/>
          </w:p>
        </w:tc>
        <w:tc>
          <w:tcPr>
            <w:tcW w:w="624" w:type="dxa"/>
          </w:tcPr>
          <w:p w:rsidR="000A70C2" w:rsidRDefault="000A70C2" w:rsidP="00AB3999">
            <w:pPr>
              <w:pStyle w:val="TableText"/>
              <w:keepLines w:val="0"/>
              <w:numPr>
                <w:ilvl w:val="0"/>
                <w:numId w:val="3"/>
              </w:numPr>
            </w:pPr>
          </w:p>
        </w:tc>
        <w:tc>
          <w:tcPr>
            <w:tcW w:w="7146" w:type="dxa"/>
            <w:gridSpan w:val="5"/>
          </w:tcPr>
          <w:p w:rsidR="000A70C2" w:rsidRPr="00C34DE2" w:rsidRDefault="000A70C2" w:rsidP="000A70C2">
            <w:pPr>
              <w:pStyle w:val="TableBlock"/>
              <w:keepLines w:val="0"/>
            </w:pPr>
            <w:r>
              <w:rPr>
                <w:rFonts w:hint="cs"/>
                <w:rtl/>
              </w:rPr>
              <w:t>דיין בית דין לתעבורה וראש בית דין לתעבורה ימונו לתקופת כהונה אחת בת שבע שנים.</w:t>
            </w:r>
          </w:p>
        </w:tc>
      </w:tr>
      <w:tr w:rsidR="000A70C2">
        <w:trPr>
          <w:cantSplit/>
          <w:trHeight w:val="60"/>
        </w:trPr>
        <w:tc>
          <w:tcPr>
            <w:tcW w:w="1871" w:type="dxa"/>
          </w:tcPr>
          <w:p w:rsidR="000A70C2" w:rsidRDefault="000A70C2" w:rsidP="000A70C2">
            <w:pPr>
              <w:pStyle w:val="TableSideHeading"/>
              <w:keepLines w:val="0"/>
            </w:pPr>
            <w:bookmarkStart w:id="44" w:name="_Toc74773771"/>
            <w:bookmarkStart w:id="45" w:name="_Toc75433146"/>
            <w:r w:rsidRPr="00FD28C8">
              <w:rPr>
                <w:rFonts w:hint="cs"/>
                <w:rtl/>
              </w:rPr>
              <w:t>הפסקת כהונה לפני תום תקופת הכהונה</w:t>
            </w:r>
            <w:bookmarkEnd w:id="44"/>
            <w:bookmarkEnd w:id="45"/>
          </w:p>
        </w:tc>
        <w:tc>
          <w:tcPr>
            <w:tcW w:w="624" w:type="dxa"/>
          </w:tcPr>
          <w:p w:rsidR="000A70C2" w:rsidRDefault="000A70C2" w:rsidP="00AB3999">
            <w:pPr>
              <w:pStyle w:val="TableText"/>
              <w:keepLines w:val="0"/>
              <w:numPr>
                <w:ilvl w:val="0"/>
                <w:numId w:val="3"/>
              </w:numPr>
            </w:pPr>
          </w:p>
        </w:tc>
        <w:tc>
          <w:tcPr>
            <w:tcW w:w="7146" w:type="dxa"/>
            <w:gridSpan w:val="5"/>
          </w:tcPr>
          <w:p w:rsidR="000A70C2" w:rsidRPr="00C34DE2" w:rsidRDefault="000A70C2" w:rsidP="00AB3999">
            <w:pPr>
              <w:pStyle w:val="TableBlock"/>
              <w:numPr>
                <w:ilvl w:val="0"/>
                <w:numId w:val="24"/>
              </w:numPr>
              <w:tabs>
                <w:tab w:val="left" w:pos="624"/>
              </w:tabs>
            </w:pPr>
            <w:r>
              <w:rPr>
                <w:rFonts w:hint="cs"/>
                <w:rtl/>
              </w:rPr>
              <w:t xml:space="preserve">דיין בית דין לתעבורה או ראש בית דין לתעבורה </w:t>
            </w:r>
            <w:r w:rsidRPr="0007765C">
              <w:rPr>
                <w:rtl/>
              </w:rPr>
              <w:t>יחדל</w:t>
            </w:r>
            <w:r>
              <w:rPr>
                <w:rtl/>
              </w:rPr>
              <w:t xml:space="preserve"> לכהן לפני תום תקופת כהונת</w:t>
            </w:r>
            <w:r>
              <w:rPr>
                <w:rFonts w:hint="cs"/>
                <w:rtl/>
              </w:rPr>
              <w:t>ו</w:t>
            </w:r>
            <w:r w:rsidRPr="0007765C">
              <w:rPr>
                <w:rtl/>
              </w:rPr>
              <w:t>, בהתקיים אחד מאלה</w:t>
            </w:r>
            <w:r>
              <w:rPr>
                <w:rFonts w:hint="cs"/>
                <w:rtl/>
              </w:rPr>
              <w:t>:</w:t>
            </w:r>
          </w:p>
        </w:tc>
      </w:tr>
      <w:tr w:rsidR="000A70C2">
        <w:trPr>
          <w:cantSplit/>
          <w:trHeight w:val="60"/>
        </w:trPr>
        <w:tc>
          <w:tcPr>
            <w:tcW w:w="1871" w:type="dxa"/>
          </w:tcPr>
          <w:p w:rsidR="000A70C2" w:rsidRDefault="000A70C2">
            <w:pPr>
              <w:pStyle w:val="TableSideHeading"/>
            </w:pPr>
          </w:p>
        </w:tc>
        <w:tc>
          <w:tcPr>
            <w:tcW w:w="624" w:type="dxa"/>
          </w:tcPr>
          <w:p w:rsidR="000A70C2" w:rsidRDefault="000A70C2">
            <w:pPr>
              <w:pStyle w:val="TableText"/>
            </w:pPr>
          </w:p>
        </w:tc>
        <w:tc>
          <w:tcPr>
            <w:tcW w:w="624" w:type="dxa"/>
          </w:tcPr>
          <w:p w:rsidR="000A70C2" w:rsidRDefault="000A70C2">
            <w:pPr>
              <w:pStyle w:val="TableText"/>
            </w:pPr>
          </w:p>
        </w:tc>
        <w:tc>
          <w:tcPr>
            <w:tcW w:w="6522" w:type="dxa"/>
            <w:gridSpan w:val="4"/>
          </w:tcPr>
          <w:p w:rsidR="000A70C2" w:rsidRDefault="000A70C2" w:rsidP="00AB3999">
            <w:pPr>
              <w:pStyle w:val="TableBlock"/>
              <w:numPr>
                <w:ilvl w:val="0"/>
                <w:numId w:val="25"/>
              </w:numPr>
              <w:tabs>
                <w:tab w:val="left" w:pos="624"/>
              </w:tabs>
            </w:pPr>
            <w:r>
              <w:rPr>
                <w:rFonts w:hint="cs"/>
                <w:rtl/>
              </w:rPr>
              <w:t>בצאתו לקצבה;</w:t>
            </w:r>
          </w:p>
        </w:tc>
      </w:tr>
      <w:tr w:rsidR="000A70C2">
        <w:trPr>
          <w:cantSplit/>
          <w:trHeight w:val="60"/>
        </w:trPr>
        <w:tc>
          <w:tcPr>
            <w:tcW w:w="1871" w:type="dxa"/>
          </w:tcPr>
          <w:p w:rsidR="000A70C2" w:rsidRDefault="000A70C2">
            <w:pPr>
              <w:pStyle w:val="TableSideHeading"/>
            </w:pPr>
          </w:p>
        </w:tc>
        <w:tc>
          <w:tcPr>
            <w:tcW w:w="624" w:type="dxa"/>
          </w:tcPr>
          <w:p w:rsidR="000A70C2" w:rsidRDefault="000A70C2" w:rsidP="000A70C2">
            <w:pPr>
              <w:pStyle w:val="TableText"/>
            </w:pPr>
          </w:p>
        </w:tc>
        <w:tc>
          <w:tcPr>
            <w:tcW w:w="624" w:type="dxa"/>
          </w:tcPr>
          <w:p w:rsidR="000A70C2" w:rsidRDefault="000A70C2">
            <w:pPr>
              <w:pStyle w:val="TableText"/>
            </w:pPr>
          </w:p>
        </w:tc>
        <w:tc>
          <w:tcPr>
            <w:tcW w:w="6522" w:type="dxa"/>
            <w:gridSpan w:val="4"/>
          </w:tcPr>
          <w:p w:rsidR="000A70C2" w:rsidRDefault="000A70C2" w:rsidP="00AB3999">
            <w:pPr>
              <w:pStyle w:val="TableBlock"/>
              <w:numPr>
                <w:ilvl w:val="0"/>
                <w:numId w:val="25"/>
              </w:numPr>
              <w:tabs>
                <w:tab w:val="left" w:pos="624"/>
              </w:tabs>
              <w:rPr>
                <w:rtl/>
              </w:rPr>
            </w:pPr>
            <w:r w:rsidRPr="00D5324C">
              <w:rPr>
                <w:rtl/>
              </w:rPr>
              <w:t>הוא התפטר במסירת כתב התפטרות</w:t>
            </w:r>
            <w:r>
              <w:rPr>
                <w:rFonts w:hint="cs"/>
                <w:rtl/>
              </w:rPr>
              <w:t xml:space="preserve"> לראש בית דין לתעבורה, ואם מדובר בראש בית דין לתעבורה </w:t>
            </w:r>
            <w:r>
              <w:rPr>
                <w:rtl/>
              </w:rPr>
              <w:t>–</w:t>
            </w:r>
            <w:r>
              <w:rPr>
                <w:rFonts w:hint="cs"/>
                <w:rtl/>
              </w:rPr>
              <w:t xml:space="preserve"> למנהל הכללי של משרד המשפטים.</w:t>
            </w:r>
          </w:p>
        </w:tc>
      </w:tr>
      <w:tr w:rsidR="000A70C2">
        <w:trPr>
          <w:cantSplit/>
          <w:trHeight w:val="60"/>
        </w:trPr>
        <w:tc>
          <w:tcPr>
            <w:tcW w:w="1871" w:type="dxa"/>
          </w:tcPr>
          <w:p w:rsidR="000A70C2" w:rsidRDefault="000A70C2">
            <w:pPr>
              <w:pStyle w:val="TableSideHeading"/>
            </w:pPr>
          </w:p>
        </w:tc>
        <w:tc>
          <w:tcPr>
            <w:tcW w:w="624" w:type="dxa"/>
          </w:tcPr>
          <w:p w:rsidR="000A70C2" w:rsidRDefault="000A70C2">
            <w:pPr>
              <w:pStyle w:val="TableText"/>
            </w:pPr>
          </w:p>
        </w:tc>
        <w:tc>
          <w:tcPr>
            <w:tcW w:w="7146" w:type="dxa"/>
            <w:gridSpan w:val="5"/>
          </w:tcPr>
          <w:p w:rsidR="000A70C2" w:rsidRPr="00C34DE2" w:rsidRDefault="000A70C2" w:rsidP="00AB3999">
            <w:pPr>
              <w:pStyle w:val="TableBlock"/>
              <w:numPr>
                <w:ilvl w:val="0"/>
                <w:numId w:val="24"/>
              </w:numPr>
              <w:tabs>
                <w:tab w:val="left" w:pos="624"/>
              </w:tabs>
            </w:pPr>
            <w:r w:rsidRPr="009F5F3C">
              <w:rPr>
                <w:rtl/>
              </w:rPr>
              <w:t>התקיימה נסיבה מהנסיבות כמפורט להלן</w:t>
            </w:r>
            <w:r w:rsidRPr="009F5F3C">
              <w:rPr>
                <w:rFonts w:hint="cs"/>
                <w:rtl/>
              </w:rPr>
              <w:t xml:space="preserve"> לגבי </w:t>
            </w:r>
            <w:r>
              <w:rPr>
                <w:rFonts w:hint="cs"/>
                <w:rtl/>
              </w:rPr>
              <w:t>דיין</w:t>
            </w:r>
            <w:r w:rsidRPr="009F5F3C">
              <w:rPr>
                <w:rtl/>
              </w:rPr>
              <w:t>,</w:t>
            </w:r>
            <w:r w:rsidRPr="009F5F3C">
              <w:rPr>
                <w:rFonts w:hint="cs"/>
                <w:rtl/>
              </w:rPr>
              <w:t xml:space="preserve"> </w:t>
            </w:r>
            <w:r w:rsidRPr="009F5F3C">
              <w:rPr>
                <w:rtl/>
              </w:rPr>
              <w:t>יעביר</w:t>
            </w:r>
            <w:r w:rsidRPr="009F5F3C">
              <w:rPr>
                <w:rFonts w:hint="cs"/>
                <w:rtl/>
              </w:rPr>
              <w:t>ו</w:t>
            </w:r>
            <w:r>
              <w:rPr>
                <w:rtl/>
              </w:rPr>
              <w:t xml:space="preserve"> </w:t>
            </w:r>
            <w:r>
              <w:rPr>
                <w:rFonts w:hint="cs"/>
                <w:rtl/>
              </w:rPr>
              <w:t xml:space="preserve">שר המשפטים </w:t>
            </w:r>
            <w:r w:rsidRPr="009F5F3C">
              <w:rPr>
                <w:rtl/>
              </w:rPr>
              <w:t>מכהונתו לפני תום תקופת הכהונה ובסמוך למועד התקיימות הנסיבה, בהודעה בכתב</w:t>
            </w:r>
            <w:r w:rsidRPr="009F5F3C">
              <w:rPr>
                <w:rFonts w:hint="cs"/>
                <w:rtl/>
              </w:rPr>
              <w:t>:</w:t>
            </w:r>
          </w:p>
        </w:tc>
      </w:tr>
      <w:tr w:rsidR="000A70C2">
        <w:trPr>
          <w:cantSplit/>
          <w:trHeight w:val="60"/>
        </w:trPr>
        <w:tc>
          <w:tcPr>
            <w:tcW w:w="1871" w:type="dxa"/>
          </w:tcPr>
          <w:p w:rsidR="000A70C2" w:rsidRDefault="000A70C2">
            <w:pPr>
              <w:pStyle w:val="TableSideHeading"/>
            </w:pPr>
          </w:p>
        </w:tc>
        <w:tc>
          <w:tcPr>
            <w:tcW w:w="624" w:type="dxa"/>
          </w:tcPr>
          <w:p w:rsidR="000A70C2" w:rsidRDefault="000A70C2">
            <w:pPr>
              <w:pStyle w:val="TableText"/>
            </w:pPr>
          </w:p>
        </w:tc>
        <w:tc>
          <w:tcPr>
            <w:tcW w:w="624" w:type="dxa"/>
          </w:tcPr>
          <w:p w:rsidR="000A70C2" w:rsidRDefault="000A70C2">
            <w:pPr>
              <w:pStyle w:val="TableText"/>
            </w:pPr>
          </w:p>
        </w:tc>
        <w:tc>
          <w:tcPr>
            <w:tcW w:w="6522" w:type="dxa"/>
            <w:gridSpan w:val="4"/>
          </w:tcPr>
          <w:p w:rsidR="000A70C2" w:rsidRPr="00FE1884" w:rsidRDefault="000A70C2" w:rsidP="00793D14">
            <w:pPr>
              <w:pStyle w:val="TableBlock"/>
              <w:numPr>
                <w:ilvl w:val="0"/>
                <w:numId w:val="26"/>
              </w:numPr>
              <w:tabs>
                <w:tab w:val="left" w:pos="624"/>
              </w:tabs>
            </w:pPr>
            <w:r w:rsidRPr="00FE1884">
              <w:rPr>
                <w:rtl/>
              </w:rPr>
              <w:t xml:space="preserve">הוא הורשע בעבירה </w:t>
            </w:r>
            <w:r w:rsidRPr="00FE1884">
              <w:rPr>
                <w:rFonts w:hint="cs"/>
                <w:rtl/>
              </w:rPr>
              <w:t xml:space="preserve">פלילית או בעבירת משמעת </w:t>
            </w:r>
            <w:r w:rsidRPr="00FE1884">
              <w:rPr>
                <w:rtl/>
              </w:rPr>
              <w:t xml:space="preserve">שמפאת מהותה, חומרתה או נסיבותיה </w:t>
            </w:r>
            <w:r w:rsidR="00793D14" w:rsidRPr="00FE1884">
              <w:rPr>
                <w:rFonts w:hint="cs"/>
                <w:rtl/>
              </w:rPr>
              <w:t>קבעה הוועדה כמשמעה ב</w:t>
            </w:r>
            <w:r w:rsidR="00793D14" w:rsidRPr="00FE1884">
              <w:rPr>
                <w:rFonts w:hint="eastAsia"/>
                <w:rtl/>
              </w:rPr>
              <w:t>סעיפים</w:t>
            </w:r>
            <w:r w:rsidR="00793D14" w:rsidRPr="00FE1884">
              <w:rPr>
                <w:rtl/>
              </w:rPr>
              <w:t xml:space="preserve"> </w:t>
            </w:r>
            <w:r w:rsidR="00793D14" w:rsidRPr="00FE1884">
              <w:rPr>
                <w:rFonts w:hint="cs"/>
                <w:rtl/>
              </w:rPr>
              <w:t>14</w:t>
            </w:r>
            <w:r w:rsidR="00793D14" w:rsidRPr="00FE1884">
              <w:rPr>
                <w:rtl/>
              </w:rPr>
              <w:t xml:space="preserve">(א) </w:t>
            </w:r>
            <w:r w:rsidR="00793D14" w:rsidRPr="00FE1884">
              <w:rPr>
                <w:rFonts w:hint="eastAsia"/>
                <w:rtl/>
              </w:rPr>
              <w:t>ו</w:t>
            </w:r>
            <w:r w:rsidR="00793D14" w:rsidRPr="00FE1884">
              <w:rPr>
                <w:rtl/>
              </w:rPr>
              <w:t>-</w:t>
            </w:r>
            <w:r w:rsidR="00793D14" w:rsidRPr="00FE1884">
              <w:rPr>
                <w:rFonts w:hint="cs"/>
                <w:rtl/>
              </w:rPr>
              <w:t>14</w:t>
            </w:r>
            <w:r w:rsidR="00793D14" w:rsidRPr="00FE1884">
              <w:rPr>
                <w:rtl/>
              </w:rPr>
              <w:t>(ב),</w:t>
            </w:r>
            <w:r w:rsidR="00793D14" w:rsidRPr="00FE1884">
              <w:rPr>
                <w:rFonts w:hint="cs"/>
                <w:rtl/>
              </w:rPr>
              <w:t xml:space="preserve"> לפי </w:t>
            </w:r>
            <w:r w:rsidR="00793D14" w:rsidRPr="00FE1884">
              <w:rPr>
                <w:rFonts w:hint="eastAsia"/>
                <w:rtl/>
              </w:rPr>
              <w:t>העניי</w:t>
            </w:r>
            <w:r w:rsidR="00793D14" w:rsidRPr="00FE1884">
              <w:rPr>
                <w:rFonts w:hint="cs"/>
                <w:rtl/>
              </w:rPr>
              <w:t xml:space="preserve">ן, כי </w:t>
            </w:r>
            <w:r w:rsidRPr="00FE1884">
              <w:rPr>
                <w:rtl/>
              </w:rPr>
              <w:t xml:space="preserve">אין הוא ראוי לכהן </w:t>
            </w:r>
            <w:r w:rsidRPr="00FE1884">
              <w:rPr>
                <w:rFonts w:hint="cs"/>
                <w:rtl/>
              </w:rPr>
              <w:t>כדיין</w:t>
            </w:r>
            <w:r w:rsidRPr="00FE1884">
              <w:rPr>
                <w:rtl/>
              </w:rPr>
              <w:t xml:space="preserve">, או הוגש נגדו כתב אישום </w:t>
            </w:r>
            <w:r w:rsidRPr="00FE1884">
              <w:rPr>
                <w:rFonts w:hint="cs"/>
                <w:rtl/>
              </w:rPr>
              <w:t xml:space="preserve">או קובלנה </w:t>
            </w:r>
            <w:r w:rsidRPr="00FE1884">
              <w:rPr>
                <w:rtl/>
              </w:rPr>
              <w:t>בעבירה כאמור</w:t>
            </w:r>
            <w:r w:rsidRPr="00FE1884">
              <w:rPr>
                <w:rFonts w:hint="cs"/>
                <w:rtl/>
              </w:rPr>
              <w:t>;</w:t>
            </w:r>
          </w:p>
        </w:tc>
      </w:tr>
      <w:tr w:rsidR="000A70C2">
        <w:trPr>
          <w:cantSplit/>
          <w:trHeight w:val="60"/>
        </w:trPr>
        <w:tc>
          <w:tcPr>
            <w:tcW w:w="1871" w:type="dxa"/>
          </w:tcPr>
          <w:p w:rsidR="000A70C2" w:rsidRDefault="000A70C2">
            <w:pPr>
              <w:pStyle w:val="TableSideHeading"/>
            </w:pPr>
          </w:p>
        </w:tc>
        <w:tc>
          <w:tcPr>
            <w:tcW w:w="624" w:type="dxa"/>
          </w:tcPr>
          <w:p w:rsidR="000A70C2" w:rsidRDefault="000A70C2" w:rsidP="000A70C2">
            <w:pPr>
              <w:pStyle w:val="TableText"/>
            </w:pPr>
          </w:p>
        </w:tc>
        <w:tc>
          <w:tcPr>
            <w:tcW w:w="624" w:type="dxa"/>
          </w:tcPr>
          <w:p w:rsidR="000A70C2" w:rsidRDefault="000A70C2">
            <w:pPr>
              <w:pStyle w:val="TableText"/>
            </w:pPr>
          </w:p>
        </w:tc>
        <w:tc>
          <w:tcPr>
            <w:tcW w:w="6522" w:type="dxa"/>
            <w:gridSpan w:val="4"/>
          </w:tcPr>
          <w:p w:rsidR="000A70C2" w:rsidRPr="009F5F3C" w:rsidRDefault="000A70C2" w:rsidP="00AB3999">
            <w:pPr>
              <w:pStyle w:val="TableBlock"/>
              <w:numPr>
                <w:ilvl w:val="0"/>
                <w:numId w:val="26"/>
              </w:numPr>
              <w:tabs>
                <w:tab w:val="left" w:pos="624"/>
              </w:tabs>
              <w:rPr>
                <w:rtl/>
              </w:rPr>
            </w:pPr>
            <w:r>
              <w:rPr>
                <w:rFonts w:hint="cs"/>
                <w:rtl/>
              </w:rPr>
              <w:t>נבצר ממנו דרך קבע למלא את תפקידו;</w:t>
            </w:r>
          </w:p>
        </w:tc>
      </w:tr>
      <w:tr w:rsidR="000A70C2">
        <w:trPr>
          <w:cantSplit/>
          <w:trHeight w:val="60"/>
        </w:trPr>
        <w:tc>
          <w:tcPr>
            <w:tcW w:w="1871" w:type="dxa"/>
          </w:tcPr>
          <w:p w:rsidR="000A70C2" w:rsidRDefault="000A70C2">
            <w:pPr>
              <w:pStyle w:val="TableSideHeading"/>
            </w:pPr>
          </w:p>
        </w:tc>
        <w:tc>
          <w:tcPr>
            <w:tcW w:w="624" w:type="dxa"/>
          </w:tcPr>
          <w:p w:rsidR="000A70C2" w:rsidRDefault="000A70C2" w:rsidP="000A70C2">
            <w:pPr>
              <w:pStyle w:val="TableText"/>
            </w:pPr>
          </w:p>
        </w:tc>
        <w:tc>
          <w:tcPr>
            <w:tcW w:w="624" w:type="dxa"/>
          </w:tcPr>
          <w:p w:rsidR="000A70C2" w:rsidRDefault="000A70C2">
            <w:pPr>
              <w:pStyle w:val="TableText"/>
            </w:pPr>
          </w:p>
        </w:tc>
        <w:tc>
          <w:tcPr>
            <w:tcW w:w="6522" w:type="dxa"/>
            <w:gridSpan w:val="4"/>
          </w:tcPr>
          <w:p w:rsidR="000A70C2" w:rsidRPr="00FE1884" w:rsidRDefault="000A70C2" w:rsidP="00FE1884">
            <w:pPr>
              <w:pStyle w:val="TableBlock"/>
              <w:numPr>
                <w:ilvl w:val="0"/>
                <w:numId w:val="26"/>
              </w:numPr>
              <w:tabs>
                <w:tab w:val="left" w:pos="624"/>
              </w:tabs>
              <w:rPr>
                <w:rtl/>
              </w:rPr>
            </w:pPr>
            <w:r w:rsidRPr="00FE1884">
              <w:rPr>
                <w:rFonts w:hint="cs"/>
                <w:rtl/>
              </w:rPr>
              <w:t xml:space="preserve">על פי החלטת הוועדה </w:t>
            </w:r>
            <w:r w:rsidR="00046741" w:rsidRPr="00FE1884">
              <w:rPr>
                <w:rFonts w:hint="cs"/>
                <w:rtl/>
              </w:rPr>
              <w:t>כמשמעה ב</w:t>
            </w:r>
            <w:r w:rsidRPr="00FE1884">
              <w:rPr>
                <w:rFonts w:hint="eastAsia"/>
                <w:rtl/>
              </w:rPr>
              <w:t>סעיפים</w:t>
            </w:r>
            <w:r w:rsidRPr="00FE1884">
              <w:rPr>
                <w:rtl/>
              </w:rPr>
              <w:t xml:space="preserve"> </w:t>
            </w:r>
            <w:r w:rsidRPr="00FE1884">
              <w:rPr>
                <w:rFonts w:hint="cs"/>
                <w:rtl/>
              </w:rPr>
              <w:t>14</w:t>
            </w:r>
            <w:r w:rsidRPr="00FE1884">
              <w:rPr>
                <w:rtl/>
              </w:rPr>
              <w:t xml:space="preserve">(א) </w:t>
            </w:r>
            <w:r w:rsidRPr="00FE1884">
              <w:rPr>
                <w:rFonts w:hint="eastAsia"/>
                <w:rtl/>
              </w:rPr>
              <w:t>ו</w:t>
            </w:r>
            <w:r w:rsidRPr="00FE1884">
              <w:rPr>
                <w:rtl/>
              </w:rPr>
              <w:t>-</w:t>
            </w:r>
            <w:r w:rsidRPr="00FE1884">
              <w:rPr>
                <w:rFonts w:hint="cs"/>
                <w:rtl/>
              </w:rPr>
              <w:t>14</w:t>
            </w:r>
            <w:r w:rsidRPr="00FE1884">
              <w:rPr>
                <w:rtl/>
              </w:rPr>
              <w:t>(ב),</w:t>
            </w:r>
            <w:r w:rsidRPr="00FE1884">
              <w:rPr>
                <w:rFonts w:hint="cs"/>
                <w:rtl/>
              </w:rPr>
              <w:t xml:space="preserve"> לפי </w:t>
            </w:r>
            <w:r w:rsidRPr="00FE1884">
              <w:rPr>
                <w:rFonts w:hint="eastAsia"/>
                <w:rtl/>
              </w:rPr>
              <w:t>העניין</w:t>
            </w:r>
            <w:r w:rsidR="00046741" w:rsidRPr="00FE1884">
              <w:rPr>
                <w:rtl/>
              </w:rPr>
              <w:t xml:space="preserve">; החלטת הוועדה כאמור, לא תינתן אלא לפי המלצת </w:t>
            </w:r>
            <w:r w:rsidRPr="00FE1884">
              <w:rPr>
                <w:rFonts w:hint="eastAsia"/>
                <w:rtl/>
              </w:rPr>
              <w:t>האחראי</w:t>
            </w:r>
            <w:r w:rsidRPr="00FE1884">
              <w:rPr>
                <w:rtl/>
              </w:rPr>
              <w:t xml:space="preserve"> </w:t>
            </w:r>
            <w:r w:rsidRPr="00FE1884">
              <w:rPr>
                <w:rFonts w:hint="eastAsia"/>
                <w:rtl/>
              </w:rPr>
              <w:t>על</w:t>
            </w:r>
            <w:r w:rsidRPr="00FE1884">
              <w:rPr>
                <w:rtl/>
              </w:rPr>
              <w:t xml:space="preserve"> </w:t>
            </w:r>
            <w:r w:rsidRPr="00FE1884">
              <w:rPr>
                <w:rFonts w:hint="eastAsia"/>
                <w:rtl/>
              </w:rPr>
              <w:t>בירור</w:t>
            </w:r>
            <w:r w:rsidRPr="00FE1884">
              <w:rPr>
                <w:rtl/>
              </w:rPr>
              <w:t xml:space="preserve"> </w:t>
            </w:r>
            <w:r w:rsidRPr="00FE1884">
              <w:rPr>
                <w:rFonts w:hint="eastAsia"/>
                <w:rtl/>
              </w:rPr>
              <w:t>תלונות</w:t>
            </w:r>
            <w:r w:rsidR="00046741" w:rsidRPr="00FE1884">
              <w:rPr>
                <w:rtl/>
              </w:rPr>
              <w:t xml:space="preserve"> בהתאם לסעיף 14א לחוק בתי דין </w:t>
            </w:r>
            <w:proofErr w:type="spellStart"/>
            <w:r w:rsidR="00046741" w:rsidRPr="00FE1884">
              <w:rPr>
                <w:rFonts w:hint="eastAsia"/>
                <w:rtl/>
              </w:rPr>
              <w:t>מינהליים</w:t>
            </w:r>
            <w:proofErr w:type="spellEnd"/>
            <w:r w:rsidRPr="00FE1884">
              <w:rPr>
                <w:rtl/>
              </w:rPr>
              <w:t xml:space="preserve">; לעניין זה, ועל אף האמור בחוק בתי דין </w:t>
            </w:r>
            <w:proofErr w:type="spellStart"/>
            <w:r w:rsidRPr="00FE1884">
              <w:rPr>
                <w:rFonts w:hint="eastAsia"/>
                <w:rtl/>
              </w:rPr>
              <w:t>מינהליים</w:t>
            </w:r>
            <w:proofErr w:type="spellEnd"/>
            <w:r w:rsidRPr="00FE1884">
              <w:rPr>
                <w:rtl/>
              </w:rPr>
              <w:t xml:space="preserve">, המלצת האחראי על בירור תלונות תובא בפני הוועדה כאמור; בסעיף זה – "האחראי על בירור תלונות" כהגדרתו בסעיף 14א לחוק בתי דין </w:t>
            </w:r>
            <w:proofErr w:type="spellStart"/>
            <w:r w:rsidRPr="00FE1884">
              <w:rPr>
                <w:rFonts w:hint="eastAsia"/>
                <w:rtl/>
              </w:rPr>
              <w:t>מינהליים</w:t>
            </w:r>
            <w:proofErr w:type="spellEnd"/>
            <w:r w:rsidRPr="00FE1884">
              <w:rPr>
                <w:rtl/>
              </w:rPr>
              <w:t>;</w:t>
            </w:r>
          </w:p>
        </w:tc>
      </w:tr>
      <w:tr w:rsidR="000A70C2">
        <w:trPr>
          <w:cantSplit/>
          <w:trHeight w:val="60"/>
        </w:trPr>
        <w:tc>
          <w:tcPr>
            <w:tcW w:w="1871" w:type="dxa"/>
          </w:tcPr>
          <w:p w:rsidR="000A70C2" w:rsidRDefault="000A70C2">
            <w:pPr>
              <w:pStyle w:val="TableSideHeading"/>
            </w:pPr>
          </w:p>
        </w:tc>
        <w:tc>
          <w:tcPr>
            <w:tcW w:w="624" w:type="dxa"/>
          </w:tcPr>
          <w:p w:rsidR="000A70C2" w:rsidRDefault="000A70C2">
            <w:pPr>
              <w:pStyle w:val="TableText"/>
            </w:pPr>
          </w:p>
        </w:tc>
        <w:tc>
          <w:tcPr>
            <w:tcW w:w="7146" w:type="dxa"/>
            <w:gridSpan w:val="5"/>
          </w:tcPr>
          <w:p w:rsidR="000A70C2" w:rsidRPr="00C34DE2" w:rsidRDefault="000A70C2" w:rsidP="00AB3999">
            <w:pPr>
              <w:pStyle w:val="TableBlock"/>
              <w:numPr>
                <w:ilvl w:val="0"/>
                <w:numId w:val="24"/>
              </w:numPr>
              <w:tabs>
                <w:tab w:val="left" w:pos="624"/>
              </w:tabs>
            </w:pPr>
            <w:r>
              <w:rPr>
                <w:rFonts w:hint="cs"/>
                <w:rtl/>
              </w:rPr>
              <w:t>שר המשפטים לא יפסיק כהונתו של דיין לפי פסקאות (1) ו-(2) לסעיף קטן (ב) אלא לפי המלצת האחראי על בירור תלונות ולאחר שניתן לדיין הזדמנות לטעון טענותיו בפני האחראי על בירור תלונות.</w:t>
            </w:r>
          </w:p>
        </w:tc>
      </w:tr>
      <w:tr w:rsidR="000A70C2">
        <w:trPr>
          <w:cantSplit/>
          <w:trHeight w:val="60"/>
        </w:trPr>
        <w:tc>
          <w:tcPr>
            <w:tcW w:w="1871" w:type="dxa"/>
          </w:tcPr>
          <w:p w:rsidR="000A70C2" w:rsidRDefault="000A70C2" w:rsidP="000A70C2">
            <w:pPr>
              <w:pStyle w:val="TableSideHeading"/>
              <w:keepLines w:val="0"/>
            </w:pPr>
            <w:bookmarkStart w:id="46" w:name="_Toc74773772"/>
            <w:bookmarkStart w:id="47" w:name="_Toc75433147"/>
            <w:r>
              <w:rPr>
                <w:rFonts w:hint="cs"/>
                <w:rtl/>
              </w:rPr>
              <w:t>סמכות ראש בית דין לתעבורה</w:t>
            </w:r>
            <w:bookmarkEnd w:id="46"/>
            <w:bookmarkEnd w:id="47"/>
          </w:p>
        </w:tc>
        <w:tc>
          <w:tcPr>
            <w:tcW w:w="624" w:type="dxa"/>
          </w:tcPr>
          <w:p w:rsidR="000A70C2" w:rsidRDefault="000A70C2" w:rsidP="00AB3999">
            <w:pPr>
              <w:pStyle w:val="TableText"/>
              <w:keepLines w:val="0"/>
              <w:numPr>
                <w:ilvl w:val="0"/>
                <w:numId w:val="3"/>
              </w:numPr>
            </w:pPr>
          </w:p>
        </w:tc>
        <w:tc>
          <w:tcPr>
            <w:tcW w:w="7146" w:type="dxa"/>
            <w:gridSpan w:val="5"/>
          </w:tcPr>
          <w:p w:rsidR="000A70C2" w:rsidRPr="00C34DE2" w:rsidRDefault="000A70C2" w:rsidP="000A70C2">
            <w:pPr>
              <w:pStyle w:val="TableBlock"/>
              <w:keepLines w:val="0"/>
            </w:pPr>
            <w:r w:rsidRPr="00F21FB3">
              <w:rPr>
                <w:rtl/>
              </w:rPr>
              <w:t>שר המשפטים רשאי לקבוע את סדרי הדין ו</w:t>
            </w:r>
            <w:r w:rsidRPr="00F21FB3">
              <w:rPr>
                <w:rFonts w:hint="cs"/>
                <w:rtl/>
              </w:rPr>
              <w:t xml:space="preserve">את </w:t>
            </w:r>
            <w:r w:rsidRPr="009815FA">
              <w:rPr>
                <w:rtl/>
              </w:rPr>
              <w:t xml:space="preserve">סדרי </w:t>
            </w:r>
            <w:proofErr w:type="spellStart"/>
            <w:r w:rsidRPr="009815FA">
              <w:rPr>
                <w:rtl/>
              </w:rPr>
              <w:t>המינהל</w:t>
            </w:r>
            <w:proofErr w:type="spellEnd"/>
            <w:r w:rsidRPr="009815FA">
              <w:rPr>
                <w:rtl/>
              </w:rPr>
              <w:t xml:space="preserve"> שיחולו בבית דין</w:t>
            </w:r>
            <w:r w:rsidRPr="009815FA">
              <w:rPr>
                <w:rFonts w:hint="cs"/>
                <w:rtl/>
              </w:rPr>
              <w:t xml:space="preserve"> לתעבורה</w:t>
            </w:r>
            <w:r w:rsidRPr="009815FA">
              <w:rPr>
                <w:rtl/>
              </w:rPr>
              <w:t xml:space="preserve">; </w:t>
            </w:r>
            <w:r w:rsidRPr="009815FA">
              <w:rPr>
                <w:rFonts w:hint="cs"/>
                <w:rtl/>
              </w:rPr>
              <w:t>ראש בית דין</w:t>
            </w:r>
            <w:r w:rsidRPr="00EF7F7E">
              <w:rPr>
                <w:rtl/>
              </w:rPr>
              <w:t xml:space="preserve"> </w:t>
            </w:r>
            <w:r w:rsidRPr="00EF7F7E">
              <w:rPr>
                <w:rFonts w:hint="cs"/>
                <w:rtl/>
              </w:rPr>
              <w:t xml:space="preserve">לתעבורה </w:t>
            </w:r>
            <w:r w:rsidRPr="00EF7F7E">
              <w:rPr>
                <w:rtl/>
              </w:rPr>
              <w:t>יהיה אחראי בפני שר המשפטים על ביצוע</w:t>
            </w:r>
            <w:r w:rsidRPr="000A1301">
              <w:rPr>
                <w:rFonts w:hint="cs"/>
                <w:rtl/>
              </w:rPr>
              <w:t>ם</w:t>
            </w:r>
            <w:r w:rsidRPr="000A1301">
              <w:rPr>
                <w:rtl/>
              </w:rPr>
              <w:t xml:space="preserve"> של </w:t>
            </w:r>
            <w:r w:rsidRPr="000A1301">
              <w:rPr>
                <w:rFonts w:hint="cs"/>
                <w:rtl/>
              </w:rPr>
              <w:t xml:space="preserve">סדרי </w:t>
            </w:r>
            <w:r>
              <w:rPr>
                <w:rFonts w:hint="cs"/>
                <w:rtl/>
              </w:rPr>
              <w:t>ה</w:t>
            </w:r>
            <w:r w:rsidRPr="000A1301">
              <w:rPr>
                <w:rFonts w:hint="cs"/>
                <w:rtl/>
              </w:rPr>
              <w:t>דין</w:t>
            </w:r>
            <w:r>
              <w:rPr>
                <w:rFonts w:hint="cs"/>
                <w:rtl/>
              </w:rPr>
              <w:t xml:space="preserve"> </w:t>
            </w:r>
            <w:proofErr w:type="spellStart"/>
            <w:r w:rsidRPr="00C56A5D">
              <w:rPr>
                <w:rFonts w:ascii="David" w:hAnsi="David"/>
                <w:sz w:val="26"/>
                <w:rtl/>
              </w:rPr>
              <w:t>וסידרי</w:t>
            </w:r>
            <w:proofErr w:type="spellEnd"/>
            <w:r w:rsidRPr="00C56A5D">
              <w:rPr>
                <w:rFonts w:ascii="David" w:hAnsi="David"/>
                <w:sz w:val="26"/>
                <w:rtl/>
              </w:rPr>
              <w:t xml:space="preserve"> </w:t>
            </w:r>
            <w:proofErr w:type="spellStart"/>
            <w:r>
              <w:rPr>
                <w:rFonts w:ascii="David" w:hAnsi="David" w:hint="cs"/>
                <w:sz w:val="26"/>
                <w:rtl/>
              </w:rPr>
              <w:t>ה</w:t>
            </w:r>
            <w:r w:rsidRPr="00C56A5D">
              <w:rPr>
                <w:rFonts w:ascii="David" w:hAnsi="David"/>
                <w:sz w:val="26"/>
                <w:rtl/>
              </w:rPr>
              <w:t>מינהל</w:t>
            </w:r>
            <w:proofErr w:type="spellEnd"/>
            <w:r w:rsidRPr="000A1301">
              <w:rPr>
                <w:rtl/>
              </w:rPr>
              <w:t xml:space="preserve"> כאמור ולשם כך יהיה רשאי לקבוע הוראות מפורטות בעניינים </w:t>
            </w:r>
            <w:r>
              <w:rPr>
                <w:rFonts w:hint="cs"/>
                <w:rtl/>
              </w:rPr>
              <w:t>המפורטים להלן</w:t>
            </w:r>
            <w:r w:rsidRPr="00043B55">
              <w:rPr>
                <w:rtl/>
              </w:rPr>
              <w:t>:</w:t>
            </w:r>
          </w:p>
        </w:tc>
      </w:tr>
      <w:tr w:rsidR="000A70C2">
        <w:trPr>
          <w:cantSplit/>
          <w:trHeight w:val="60"/>
        </w:trPr>
        <w:tc>
          <w:tcPr>
            <w:tcW w:w="1871" w:type="dxa"/>
          </w:tcPr>
          <w:p w:rsidR="000A70C2" w:rsidRDefault="000A70C2">
            <w:pPr>
              <w:pStyle w:val="TableSideHeading"/>
            </w:pPr>
          </w:p>
        </w:tc>
        <w:tc>
          <w:tcPr>
            <w:tcW w:w="624" w:type="dxa"/>
          </w:tcPr>
          <w:p w:rsidR="000A70C2" w:rsidRDefault="000A70C2">
            <w:pPr>
              <w:pStyle w:val="TableText"/>
            </w:pPr>
          </w:p>
        </w:tc>
        <w:tc>
          <w:tcPr>
            <w:tcW w:w="624" w:type="dxa"/>
          </w:tcPr>
          <w:p w:rsidR="000A70C2" w:rsidRDefault="000A70C2" w:rsidP="00AB3999">
            <w:pPr>
              <w:pStyle w:val="TableText"/>
              <w:numPr>
                <w:ilvl w:val="0"/>
                <w:numId w:val="27"/>
              </w:numPr>
              <w:tabs>
                <w:tab w:val="left" w:pos="624"/>
              </w:tabs>
              <w:jc w:val="both"/>
            </w:pPr>
          </w:p>
        </w:tc>
        <w:tc>
          <w:tcPr>
            <w:tcW w:w="6522" w:type="dxa"/>
            <w:gridSpan w:val="4"/>
          </w:tcPr>
          <w:p w:rsidR="000A70C2" w:rsidRDefault="000A70C2" w:rsidP="000A70C2">
            <w:pPr>
              <w:pStyle w:val="TableBlock"/>
            </w:pPr>
            <w:r w:rsidRPr="00354D82">
              <w:rPr>
                <w:rFonts w:ascii="David" w:hAnsi="David"/>
                <w:sz w:val="26"/>
                <w:rtl/>
              </w:rPr>
              <w:t xml:space="preserve">סדרי </w:t>
            </w:r>
            <w:proofErr w:type="spellStart"/>
            <w:r w:rsidRPr="00354D82">
              <w:rPr>
                <w:rFonts w:ascii="David" w:hAnsi="David"/>
                <w:sz w:val="26"/>
                <w:rtl/>
              </w:rPr>
              <w:t>מינהל</w:t>
            </w:r>
            <w:proofErr w:type="spellEnd"/>
            <w:r w:rsidRPr="00354D82">
              <w:rPr>
                <w:rFonts w:ascii="David" w:hAnsi="David"/>
                <w:sz w:val="26"/>
                <w:rtl/>
              </w:rPr>
              <w:t xml:space="preserve"> וסדרי עבודה פנימ</w:t>
            </w:r>
            <w:r w:rsidRPr="00354D82">
              <w:rPr>
                <w:rFonts w:ascii="David" w:hAnsi="David" w:hint="eastAsia"/>
                <w:sz w:val="26"/>
                <w:rtl/>
              </w:rPr>
              <w:t>י</w:t>
            </w:r>
            <w:r w:rsidRPr="00354D82">
              <w:rPr>
                <w:rFonts w:ascii="David" w:hAnsi="David"/>
                <w:sz w:val="26"/>
                <w:rtl/>
              </w:rPr>
              <w:t xml:space="preserve">ים של בית דין </w:t>
            </w:r>
            <w:r w:rsidRPr="00354D82">
              <w:rPr>
                <w:rFonts w:ascii="David" w:hAnsi="David" w:hint="eastAsia"/>
                <w:sz w:val="26"/>
                <w:rtl/>
              </w:rPr>
              <w:t>לתעבורה</w:t>
            </w:r>
            <w:r w:rsidRPr="00354D82">
              <w:rPr>
                <w:rFonts w:ascii="David" w:hAnsi="David"/>
                <w:sz w:val="26"/>
                <w:rtl/>
              </w:rPr>
              <w:t xml:space="preserve"> ושל הדיינים;</w:t>
            </w:r>
          </w:p>
        </w:tc>
      </w:tr>
      <w:tr w:rsidR="000A70C2">
        <w:trPr>
          <w:cantSplit/>
          <w:trHeight w:val="60"/>
        </w:trPr>
        <w:tc>
          <w:tcPr>
            <w:tcW w:w="1871" w:type="dxa"/>
          </w:tcPr>
          <w:p w:rsidR="000A70C2" w:rsidRDefault="000A70C2">
            <w:pPr>
              <w:pStyle w:val="TableSideHeading"/>
            </w:pPr>
          </w:p>
        </w:tc>
        <w:tc>
          <w:tcPr>
            <w:tcW w:w="624" w:type="dxa"/>
          </w:tcPr>
          <w:p w:rsidR="000A70C2" w:rsidRDefault="000A70C2" w:rsidP="000A70C2">
            <w:pPr>
              <w:pStyle w:val="TableText"/>
            </w:pPr>
          </w:p>
        </w:tc>
        <w:tc>
          <w:tcPr>
            <w:tcW w:w="624" w:type="dxa"/>
          </w:tcPr>
          <w:p w:rsidR="000A70C2" w:rsidRDefault="000A70C2" w:rsidP="00AB3999">
            <w:pPr>
              <w:pStyle w:val="TableText"/>
              <w:numPr>
                <w:ilvl w:val="0"/>
                <w:numId w:val="27"/>
              </w:numPr>
              <w:tabs>
                <w:tab w:val="left" w:pos="624"/>
              </w:tabs>
              <w:jc w:val="both"/>
            </w:pPr>
          </w:p>
        </w:tc>
        <w:tc>
          <w:tcPr>
            <w:tcW w:w="6522" w:type="dxa"/>
            <w:gridSpan w:val="4"/>
          </w:tcPr>
          <w:p w:rsidR="000A70C2" w:rsidRDefault="000A70C2" w:rsidP="000A70C2">
            <w:pPr>
              <w:pStyle w:val="TableBlock"/>
            </w:pPr>
            <w:r w:rsidRPr="004A2B20">
              <w:rPr>
                <w:rFonts w:ascii="David" w:hAnsi="David"/>
                <w:sz w:val="26"/>
                <w:rtl/>
              </w:rPr>
              <w:t xml:space="preserve">דחיית </w:t>
            </w:r>
            <w:r w:rsidRPr="004A2B20">
              <w:rPr>
                <w:rFonts w:ascii="David" w:hAnsi="David" w:hint="eastAsia"/>
                <w:sz w:val="26"/>
                <w:rtl/>
              </w:rPr>
              <w:t>מועד</w:t>
            </w:r>
            <w:r w:rsidRPr="004A2B20">
              <w:rPr>
                <w:rFonts w:ascii="David" w:hAnsi="David"/>
                <w:sz w:val="26"/>
                <w:rtl/>
              </w:rPr>
              <w:t xml:space="preserve"> דיו</w:t>
            </w:r>
            <w:r w:rsidRPr="004A2B20">
              <w:rPr>
                <w:rFonts w:ascii="David" w:hAnsi="David" w:hint="eastAsia"/>
                <w:sz w:val="26"/>
                <w:rtl/>
              </w:rPr>
              <w:t>ן</w:t>
            </w:r>
            <w:r w:rsidRPr="004A2B20">
              <w:rPr>
                <w:rFonts w:ascii="David" w:hAnsi="David"/>
                <w:sz w:val="26"/>
                <w:rtl/>
              </w:rPr>
              <w:t xml:space="preserve"> ו</w:t>
            </w:r>
            <w:r w:rsidRPr="004A2B20">
              <w:rPr>
                <w:rFonts w:ascii="David" w:hAnsi="David" w:hint="eastAsia"/>
                <w:sz w:val="26"/>
                <w:rtl/>
              </w:rPr>
              <w:t>החלטה</w:t>
            </w:r>
            <w:r w:rsidRPr="004A2B20">
              <w:rPr>
                <w:rFonts w:ascii="David" w:hAnsi="David"/>
                <w:sz w:val="26"/>
                <w:rtl/>
              </w:rPr>
              <w:t xml:space="preserve"> </w:t>
            </w:r>
            <w:r w:rsidRPr="004A2B20">
              <w:rPr>
                <w:rFonts w:ascii="David" w:hAnsi="David" w:hint="eastAsia"/>
                <w:sz w:val="26"/>
                <w:rtl/>
              </w:rPr>
              <w:t>בבקשה</w:t>
            </w:r>
            <w:r w:rsidRPr="004A2B20">
              <w:rPr>
                <w:rFonts w:ascii="David" w:hAnsi="David"/>
                <w:sz w:val="26"/>
                <w:rtl/>
              </w:rPr>
              <w:t xml:space="preserve"> </w:t>
            </w:r>
            <w:r w:rsidRPr="004A2B20">
              <w:rPr>
                <w:rFonts w:ascii="David" w:hAnsi="David" w:hint="eastAsia"/>
                <w:sz w:val="26"/>
                <w:rtl/>
              </w:rPr>
              <w:t>ל</w:t>
            </w:r>
            <w:r w:rsidRPr="004A2B20">
              <w:rPr>
                <w:rFonts w:ascii="David" w:hAnsi="David"/>
                <w:sz w:val="26"/>
                <w:rtl/>
              </w:rPr>
              <w:t>הארכת מועד</w:t>
            </w:r>
            <w:r w:rsidRPr="00F21FB3">
              <w:rPr>
                <w:rFonts w:ascii="David" w:hAnsi="David"/>
                <w:sz w:val="26"/>
                <w:rtl/>
              </w:rPr>
              <w:t>;</w:t>
            </w:r>
          </w:p>
        </w:tc>
      </w:tr>
      <w:tr w:rsidR="000A70C2">
        <w:trPr>
          <w:cantSplit/>
          <w:trHeight w:val="60"/>
        </w:trPr>
        <w:tc>
          <w:tcPr>
            <w:tcW w:w="1871" w:type="dxa"/>
          </w:tcPr>
          <w:p w:rsidR="000A70C2" w:rsidRDefault="000A70C2">
            <w:pPr>
              <w:pStyle w:val="TableSideHeading"/>
            </w:pPr>
          </w:p>
        </w:tc>
        <w:tc>
          <w:tcPr>
            <w:tcW w:w="624" w:type="dxa"/>
          </w:tcPr>
          <w:p w:rsidR="000A70C2" w:rsidRDefault="000A70C2" w:rsidP="000A70C2">
            <w:pPr>
              <w:pStyle w:val="TableText"/>
            </w:pPr>
          </w:p>
        </w:tc>
        <w:tc>
          <w:tcPr>
            <w:tcW w:w="624" w:type="dxa"/>
          </w:tcPr>
          <w:p w:rsidR="000A70C2" w:rsidRDefault="000A70C2" w:rsidP="00AB3999">
            <w:pPr>
              <w:pStyle w:val="TableText"/>
              <w:numPr>
                <w:ilvl w:val="0"/>
                <w:numId w:val="27"/>
              </w:numPr>
              <w:tabs>
                <w:tab w:val="left" w:pos="624"/>
              </w:tabs>
              <w:jc w:val="both"/>
            </w:pPr>
          </w:p>
        </w:tc>
        <w:tc>
          <w:tcPr>
            <w:tcW w:w="6522" w:type="dxa"/>
            <w:gridSpan w:val="4"/>
          </w:tcPr>
          <w:p w:rsidR="000A70C2" w:rsidRDefault="000A70C2" w:rsidP="000A70C2">
            <w:pPr>
              <w:pStyle w:val="TableBlock"/>
            </w:pPr>
            <w:r w:rsidRPr="0093624A">
              <w:rPr>
                <w:rFonts w:ascii="David" w:hAnsi="David"/>
                <w:sz w:val="26"/>
                <w:rtl/>
              </w:rPr>
              <w:t xml:space="preserve">הוראות בדבר דיון והכרעה בבקשות המוגשות לאחר מתן </w:t>
            </w:r>
            <w:r>
              <w:rPr>
                <w:rFonts w:ascii="David" w:hAnsi="David" w:hint="cs"/>
                <w:sz w:val="26"/>
                <w:rtl/>
              </w:rPr>
              <w:t>החלטה סופית</w:t>
            </w:r>
            <w:r w:rsidRPr="004A2B20">
              <w:rPr>
                <w:rFonts w:ascii="David" w:hAnsi="David"/>
                <w:sz w:val="26"/>
                <w:rtl/>
              </w:rPr>
              <w:t>;</w:t>
            </w:r>
          </w:p>
        </w:tc>
      </w:tr>
      <w:tr w:rsidR="000A70C2">
        <w:trPr>
          <w:cantSplit/>
          <w:trHeight w:val="60"/>
        </w:trPr>
        <w:tc>
          <w:tcPr>
            <w:tcW w:w="1871" w:type="dxa"/>
          </w:tcPr>
          <w:p w:rsidR="000A70C2" w:rsidRDefault="000A70C2">
            <w:pPr>
              <w:pStyle w:val="TableSideHeading"/>
            </w:pPr>
          </w:p>
        </w:tc>
        <w:tc>
          <w:tcPr>
            <w:tcW w:w="624" w:type="dxa"/>
          </w:tcPr>
          <w:p w:rsidR="000A70C2" w:rsidRDefault="000A70C2" w:rsidP="000A70C2">
            <w:pPr>
              <w:pStyle w:val="TableText"/>
            </w:pPr>
          </w:p>
        </w:tc>
        <w:tc>
          <w:tcPr>
            <w:tcW w:w="624" w:type="dxa"/>
          </w:tcPr>
          <w:p w:rsidR="000A70C2" w:rsidRDefault="000A70C2" w:rsidP="00AB3999">
            <w:pPr>
              <w:pStyle w:val="TableText"/>
              <w:numPr>
                <w:ilvl w:val="0"/>
                <w:numId w:val="27"/>
              </w:numPr>
              <w:tabs>
                <w:tab w:val="left" w:pos="624"/>
              </w:tabs>
              <w:jc w:val="both"/>
            </w:pPr>
          </w:p>
        </w:tc>
        <w:tc>
          <w:tcPr>
            <w:tcW w:w="6522" w:type="dxa"/>
            <w:gridSpan w:val="4"/>
          </w:tcPr>
          <w:p w:rsidR="000A70C2" w:rsidRDefault="000A70C2" w:rsidP="000A70C2">
            <w:pPr>
              <w:pStyle w:val="TableBlock"/>
            </w:pPr>
            <w:r w:rsidRPr="004A2B20">
              <w:rPr>
                <w:rFonts w:ascii="David" w:hAnsi="David"/>
                <w:sz w:val="26"/>
                <w:rtl/>
              </w:rPr>
              <w:t>אופן קיום דיונים</w:t>
            </w:r>
            <w:r w:rsidRPr="00F21FB3">
              <w:rPr>
                <w:rFonts w:ascii="David" w:hAnsi="David"/>
                <w:sz w:val="26"/>
                <w:rtl/>
              </w:rPr>
              <w:t>;</w:t>
            </w:r>
          </w:p>
        </w:tc>
      </w:tr>
      <w:tr w:rsidR="000A70C2">
        <w:trPr>
          <w:cantSplit/>
          <w:trHeight w:val="60"/>
        </w:trPr>
        <w:tc>
          <w:tcPr>
            <w:tcW w:w="1871" w:type="dxa"/>
          </w:tcPr>
          <w:p w:rsidR="000A70C2" w:rsidRDefault="000A70C2">
            <w:pPr>
              <w:pStyle w:val="TableSideHeading"/>
            </w:pPr>
          </w:p>
        </w:tc>
        <w:tc>
          <w:tcPr>
            <w:tcW w:w="624" w:type="dxa"/>
          </w:tcPr>
          <w:p w:rsidR="000A70C2" w:rsidRDefault="000A70C2" w:rsidP="000A70C2">
            <w:pPr>
              <w:pStyle w:val="TableText"/>
            </w:pPr>
          </w:p>
        </w:tc>
        <w:tc>
          <w:tcPr>
            <w:tcW w:w="624" w:type="dxa"/>
          </w:tcPr>
          <w:p w:rsidR="000A70C2" w:rsidRPr="00FE1884" w:rsidRDefault="000A70C2" w:rsidP="00AB3999">
            <w:pPr>
              <w:pStyle w:val="TableText"/>
              <w:numPr>
                <w:ilvl w:val="0"/>
                <w:numId w:val="27"/>
              </w:numPr>
              <w:tabs>
                <w:tab w:val="left" w:pos="624"/>
              </w:tabs>
              <w:jc w:val="both"/>
            </w:pPr>
          </w:p>
        </w:tc>
        <w:tc>
          <w:tcPr>
            <w:tcW w:w="6522" w:type="dxa"/>
            <w:gridSpan w:val="4"/>
          </w:tcPr>
          <w:p w:rsidR="000A70C2" w:rsidRPr="00FE1884" w:rsidRDefault="000A70C2" w:rsidP="000A70C2">
            <w:pPr>
              <w:pStyle w:val="TableBlock"/>
            </w:pPr>
            <w:r w:rsidRPr="00FE1884">
              <w:rPr>
                <w:rFonts w:ascii="David" w:hAnsi="David" w:hint="eastAsia"/>
                <w:sz w:val="26"/>
                <w:rtl/>
              </w:rPr>
              <w:t>עניינים</w:t>
            </w:r>
            <w:r w:rsidRPr="00FE1884">
              <w:rPr>
                <w:rFonts w:ascii="David" w:hAnsi="David"/>
                <w:sz w:val="26"/>
                <w:rtl/>
              </w:rPr>
              <w:t xml:space="preserve"> נוספים </w:t>
            </w:r>
            <w:r w:rsidRPr="00FE1884">
              <w:rPr>
                <w:rFonts w:ascii="David" w:hAnsi="David" w:hint="eastAsia"/>
                <w:sz w:val="26"/>
                <w:rtl/>
              </w:rPr>
              <w:t>אשר</w:t>
            </w:r>
            <w:r w:rsidRPr="00FE1884">
              <w:rPr>
                <w:rFonts w:ascii="David" w:hAnsi="David"/>
                <w:sz w:val="26"/>
                <w:rtl/>
              </w:rPr>
              <w:t xml:space="preserve"> </w:t>
            </w:r>
            <w:r w:rsidRPr="00FE1884">
              <w:rPr>
                <w:rFonts w:ascii="David" w:hAnsi="David" w:hint="eastAsia"/>
                <w:sz w:val="26"/>
                <w:rtl/>
              </w:rPr>
              <w:t>יפורטו</w:t>
            </w:r>
            <w:r w:rsidRPr="00FE1884">
              <w:rPr>
                <w:rFonts w:ascii="David" w:hAnsi="David"/>
                <w:sz w:val="26"/>
                <w:rtl/>
              </w:rPr>
              <w:t xml:space="preserve"> בתקנות שהותקנו לפי </w:t>
            </w:r>
            <w:r w:rsidRPr="00FE1884">
              <w:rPr>
                <w:rFonts w:ascii="David" w:hAnsi="David" w:hint="eastAsia"/>
                <w:sz w:val="26"/>
                <w:rtl/>
              </w:rPr>
              <w:t>סעיף</w:t>
            </w:r>
            <w:r w:rsidRPr="00FE1884">
              <w:rPr>
                <w:rFonts w:ascii="David" w:hAnsi="David"/>
                <w:sz w:val="26"/>
                <w:rtl/>
              </w:rPr>
              <w:t xml:space="preserve"> </w:t>
            </w:r>
            <w:r w:rsidRPr="00FE1884">
              <w:rPr>
                <w:rFonts w:ascii="David" w:hAnsi="David" w:hint="cs"/>
                <w:sz w:val="26"/>
                <w:rtl/>
              </w:rPr>
              <w:t>35</w:t>
            </w:r>
            <w:r w:rsidRPr="00FE1884">
              <w:rPr>
                <w:rFonts w:ascii="David" w:hAnsi="David"/>
                <w:sz w:val="26"/>
                <w:rtl/>
              </w:rPr>
              <w:t>.</w:t>
            </w:r>
          </w:p>
        </w:tc>
      </w:tr>
      <w:tr w:rsidR="000A70C2">
        <w:trPr>
          <w:cantSplit/>
          <w:trHeight w:val="60"/>
        </w:trPr>
        <w:tc>
          <w:tcPr>
            <w:tcW w:w="1871" w:type="dxa"/>
          </w:tcPr>
          <w:p w:rsidR="000A70C2" w:rsidRDefault="000A70C2" w:rsidP="000A70C2">
            <w:pPr>
              <w:pStyle w:val="TableSideHeading"/>
              <w:keepLines w:val="0"/>
            </w:pPr>
            <w:bookmarkStart w:id="48" w:name="_Toc74773773"/>
            <w:bookmarkStart w:id="49" w:name="_Toc75433148"/>
            <w:r>
              <w:rPr>
                <w:rFonts w:hint="cs"/>
                <w:rtl/>
              </w:rPr>
              <w:t>ערר</w:t>
            </w:r>
            <w:bookmarkEnd w:id="48"/>
            <w:bookmarkEnd w:id="49"/>
          </w:p>
        </w:tc>
        <w:tc>
          <w:tcPr>
            <w:tcW w:w="624" w:type="dxa"/>
          </w:tcPr>
          <w:p w:rsidR="000A70C2" w:rsidRDefault="000A70C2" w:rsidP="00AB3999">
            <w:pPr>
              <w:pStyle w:val="TableText"/>
              <w:keepLines w:val="0"/>
              <w:numPr>
                <w:ilvl w:val="0"/>
                <w:numId w:val="3"/>
              </w:numPr>
            </w:pPr>
          </w:p>
        </w:tc>
        <w:tc>
          <w:tcPr>
            <w:tcW w:w="7146" w:type="dxa"/>
            <w:gridSpan w:val="5"/>
          </w:tcPr>
          <w:p w:rsidR="000A70C2" w:rsidRPr="00FE1884" w:rsidRDefault="000A70C2" w:rsidP="00AB3999">
            <w:pPr>
              <w:pStyle w:val="TableBlock"/>
              <w:numPr>
                <w:ilvl w:val="0"/>
                <w:numId w:val="28"/>
              </w:numPr>
              <w:tabs>
                <w:tab w:val="left" w:pos="624"/>
              </w:tabs>
            </w:pPr>
            <w:r w:rsidRPr="00FE1884">
              <w:rPr>
                <w:rFonts w:hint="cs"/>
                <w:rtl/>
              </w:rPr>
              <w:t xml:space="preserve">הרואה את עצמו נפגע מהחלטה לפי </w:t>
            </w:r>
            <w:r w:rsidRPr="00FE1884">
              <w:rPr>
                <w:rFonts w:hint="eastAsia"/>
                <w:rtl/>
              </w:rPr>
              <w:t>סעיף</w:t>
            </w:r>
            <w:r w:rsidRPr="00FE1884">
              <w:rPr>
                <w:rtl/>
              </w:rPr>
              <w:t xml:space="preserve"> 2(א)</w:t>
            </w:r>
            <w:r w:rsidRPr="00FE1884">
              <w:rPr>
                <w:rFonts w:hint="cs"/>
                <w:rtl/>
              </w:rPr>
              <w:t xml:space="preserve"> </w:t>
            </w:r>
            <w:r w:rsidRPr="00FE1884">
              <w:rPr>
                <w:rFonts w:hint="eastAsia"/>
                <w:rtl/>
              </w:rPr>
              <w:t>ל</w:t>
            </w:r>
            <w:r w:rsidRPr="00FE1884">
              <w:rPr>
                <w:rFonts w:hint="cs"/>
                <w:rtl/>
              </w:rPr>
              <w:t>חוק</w:t>
            </w:r>
            <w:r w:rsidRPr="00FE1884">
              <w:rPr>
                <w:rtl/>
              </w:rPr>
              <w:t xml:space="preserve"> </w:t>
            </w:r>
            <w:r w:rsidRPr="00FE1884">
              <w:rPr>
                <w:rFonts w:hint="cs"/>
                <w:rtl/>
              </w:rPr>
              <w:t>זה, לרבות לעניין מתן הודעת תשלום, רשאי להגיש ערר על החלטה כאמור לבית דין לתעבורה.</w:t>
            </w:r>
          </w:p>
        </w:tc>
      </w:tr>
      <w:tr w:rsidR="000A70C2">
        <w:trPr>
          <w:cantSplit/>
          <w:trHeight w:val="60"/>
        </w:trPr>
        <w:tc>
          <w:tcPr>
            <w:tcW w:w="1871" w:type="dxa"/>
          </w:tcPr>
          <w:p w:rsidR="000A70C2" w:rsidRDefault="000A70C2" w:rsidP="000A70C2">
            <w:pPr>
              <w:pStyle w:val="TableSideHeading"/>
              <w:keepLines w:val="0"/>
              <w:rPr>
                <w:rtl/>
              </w:rPr>
            </w:pPr>
          </w:p>
        </w:tc>
        <w:tc>
          <w:tcPr>
            <w:tcW w:w="624" w:type="dxa"/>
          </w:tcPr>
          <w:p w:rsidR="000A70C2" w:rsidRDefault="000A70C2" w:rsidP="000A70C2">
            <w:pPr>
              <w:pStyle w:val="TableText"/>
            </w:pPr>
          </w:p>
        </w:tc>
        <w:tc>
          <w:tcPr>
            <w:tcW w:w="7146" w:type="dxa"/>
            <w:gridSpan w:val="5"/>
          </w:tcPr>
          <w:p w:rsidR="000A70C2" w:rsidRPr="00FE1884" w:rsidRDefault="000A70C2" w:rsidP="002916C0">
            <w:pPr>
              <w:pStyle w:val="TableBlock"/>
              <w:numPr>
                <w:ilvl w:val="0"/>
                <w:numId w:val="28"/>
              </w:numPr>
              <w:tabs>
                <w:tab w:val="left" w:pos="624"/>
              </w:tabs>
              <w:rPr>
                <w:rtl/>
              </w:rPr>
            </w:pPr>
            <w:r w:rsidRPr="00FE1884">
              <w:rPr>
                <w:rFonts w:hint="cs"/>
                <w:rtl/>
              </w:rPr>
              <w:t xml:space="preserve">ערר </w:t>
            </w:r>
            <w:r w:rsidR="002916C0">
              <w:rPr>
                <w:rFonts w:hint="cs"/>
                <w:rtl/>
              </w:rPr>
              <w:t>כאמור</w:t>
            </w:r>
            <w:r w:rsidRPr="00FE1884">
              <w:rPr>
                <w:rFonts w:hint="cs"/>
                <w:rtl/>
              </w:rPr>
              <w:t xml:space="preserve"> יוגש </w:t>
            </w:r>
            <w:r w:rsidRPr="00FE1884">
              <w:rPr>
                <w:rFonts w:hint="eastAsia"/>
                <w:rtl/>
              </w:rPr>
              <w:t>בתוך</w:t>
            </w:r>
            <w:r w:rsidRPr="00FE1884">
              <w:rPr>
                <w:rtl/>
              </w:rPr>
              <w:t xml:space="preserve"> </w:t>
            </w:r>
            <w:r w:rsidRPr="00FE1884">
              <w:rPr>
                <w:rFonts w:hint="cs"/>
                <w:rtl/>
              </w:rPr>
              <w:t>תשעים</w:t>
            </w:r>
            <w:r w:rsidRPr="00FE1884">
              <w:rPr>
                <w:rtl/>
              </w:rPr>
              <w:t xml:space="preserve"> </w:t>
            </w:r>
            <w:r w:rsidRPr="00FE1884">
              <w:rPr>
                <w:rFonts w:hint="eastAsia"/>
                <w:rtl/>
              </w:rPr>
              <w:t>ימים</w:t>
            </w:r>
            <w:r w:rsidRPr="00FE1884">
              <w:rPr>
                <w:rFonts w:hint="cs"/>
                <w:rtl/>
              </w:rPr>
              <w:t xml:space="preserve"> מיום ההמצאה, וככל שהוגשה בקשה לביטול כאמור </w:t>
            </w:r>
            <w:r w:rsidRPr="00FE1884">
              <w:rPr>
                <w:rFonts w:hint="eastAsia"/>
                <w:rtl/>
              </w:rPr>
              <w:t>ב</w:t>
            </w:r>
            <w:r w:rsidRPr="00FE1884">
              <w:rPr>
                <w:rFonts w:hint="cs"/>
                <w:rtl/>
              </w:rPr>
              <w:t xml:space="preserve">פסקאות (1) ו-(2) </w:t>
            </w:r>
            <w:r w:rsidRPr="00FE1884">
              <w:rPr>
                <w:rFonts w:hint="eastAsia"/>
                <w:rtl/>
              </w:rPr>
              <w:t>לסעיף</w:t>
            </w:r>
            <w:r w:rsidRPr="00FE1884">
              <w:rPr>
                <w:rtl/>
              </w:rPr>
              <w:t xml:space="preserve"> </w:t>
            </w:r>
            <w:r w:rsidRPr="00FE1884">
              <w:rPr>
                <w:rFonts w:hint="cs"/>
                <w:rtl/>
              </w:rPr>
              <w:t>9</w:t>
            </w:r>
            <w:r w:rsidRPr="00FE1884">
              <w:rPr>
                <w:rtl/>
              </w:rPr>
              <w:t>(א)</w:t>
            </w:r>
            <w:r w:rsidRPr="00FE1884">
              <w:rPr>
                <w:rFonts w:hint="cs"/>
                <w:rtl/>
              </w:rPr>
              <w:t xml:space="preserve"> </w:t>
            </w:r>
            <w:r w:rsidRPr="00FE1884">
              <w:rPr>
                <w:rtl/>
              </w:rPr>
              <w:t>–</w:t>
            </w:r>
            <w:r w:rsidRPr="00FE1884">
              <w:rPr>
                <w:rFonts w:hint="cs"/>
                <w:rtl/>
              </w:rPr>
              <w:t xml:space="preserve"> בתוך שלושים ימים מיום המ</w:t>
            </w:r>
            <w:r w:rsidRPr="00FE1884">
              <w:rPr>
                <w:rtl/>
              </w:rPr>
              <w:t xml:space="preserve">צאת ההודעה על </w:t>
            </w:r>
            <w:r w:rsidRPr="00FE1884">
              <w:rPr>
                <w:rFonts w:hint="cs"/>
                <w:rtl/>
              </w:rPr>
              <w:t>החלטה בבקשת</w:t>
            </w:r>
            <w:r w:rsidRPr="00FE1884">
              <w:rPr>
                <w:rtl/>
              </w:rPr>
              <w:t xml:space="preserve"> הביטול</w:t>
            </w:r>
            <w:r w:rsidRPr="00FE1884">
              <w:rPr>
                <w:rFonts w:hint="cs"/>
                <w:rtl/>
              </w:rPr>
              <w:t>.</w:t>
            </w:r>
          </w:p>
        </w:tc>
      </w:tr>
      <w:tr w:rsidR="000A70C2">
        <w:trPr>
          <w:cantSplit/>
          <w:trHeight w:val="60"/>
        </w:trPr>
        <w:tc>
          <w:tcPr>
            <w:tcW w:w="1871" w:type="dxa"/>
          </w:tcPr>
          <w:p w:rsidR="000A70C2" w:rsidRDefault="000A70C2" w:rsidP="000A70C2">
            <w:pPr>
              <w:pStyle w:val="TableSideHeading"/>
              <w:keepLines w:val="0"/>
              <w:rPr>
                <w:rtl/>
              </w:rPr>
            </w:pPr>
          </w:p>
        </w:tc>
        <w:tc>
          <w:tcPr>
            <w:tcW w:w="624" w:type="dxa"/>
          </w:tcPr>
          <w:p w:rsidR="000A70C2" w:rsidRDefault="000A70C2" w:rsidP="000A70C2">
            <w:pPr>
              <w:pStyle w:val="TableText"/>
            </w:pPr>
          </w:p>
        </w:tc>
        <w:tc>
          <w:tcPr>
            <w:tcW w:w="7146" w:type="dxa"/>
            <w:gridSpan w:val="5"/>
          </w:tcPr>
          <w:p w:rsidR="000A70C2" w:rsidRPr="00FE1884" w:rsidRDefault="000A70C2" w:rsidP="00AB3999">
            <w:pPr>
              <w:pStyle w:val="TableBlock"/>
              <w:numPr>
                <w:ilvl w:val="0"/>
                <w:numId w:val="28"/>
              </w:numPr>
              <w:tabs>
                <w:tab w:val="left" w:pos="624"/>
              </w:tabs>
              <w:rPr>
                <w:rtl/>
              </w:rPr>
            </w:pPr>
            <w:r w:rsidRPr="00FE1884">
              <w:rPr>
                <w:rFonts w:hint="cs"/>
                <w:rtl/>
              </w:rPr>
              <w:t xml:space="preserve">בית דין לתעבורה רשאי להאריך את המועד האמור </w:t>
            </w:r>
            <w:r w:rsidRPr="00FE1884">
              <w:rPr>
                <w:rFonts w:hint="eastAsia"/>
                <w:rtl/>
              </w:rPr>
              <w:t>בסעיף</w:t>
            </w:r>
            <w:r w:rsidRPr="00FE1884">
              <w:rPr>
                <w:rtl/>
              </w:rPr>
              <w:t xml:space="preserve"> </w:t>
            </w:r>
            <w:r w:rsidRPr="00FE1884">
              <w:rPr>
                <w:rFonts w:hint="eastAsia"/>
                <w:rtl/>
              </w:rPr>
              <w:t>קטן</w:t>
            </w:r>
            <w:r w:rsidRPr="00FE1884">
              <w:rPr>
                <w:rtl/>
              </w:rPr>
              <w:t xml:space="preserve"> (ב)</w:t>
            </w:r>
            <w:r w:rsidRPr="00FE1884">
              <w:rPr>
                <w:rFonts w:hint="cs"/>
                <w:rtl/>
              </w:rPr>
              <w:t xml:space="preserve"> מטעמים מיוחדים שיירשמו.</w:t>
            </w:r>
          </w:p>
        </w:tc>
      </w:tr>
      <w:tr w:rsidR="000A70C2">
        <w:trPr>
          <w:cantSplit/>
          <w:trHeight w:val="60"/>
        </w:trPr>
        <w:tc>
          <w:tcPr>
            <w:tcW w:w="1871" w:type="dxa"/>
          </w:tcPr>
          <w:p w:rsidR="000A70C2" w:rsidRDefault="000A70C2" w:rsidP="000A70C2">
            <w:pPr>
              <w:pStyle w:val="TableSideHeading"/>
              <w:keepLines w:val="0"/>
            </w:pPr>
            <w:bookmarkStart w:id="50" w:name="_Toc74773774"/>
            <w:bookmarkStart w:id="51" w:name="_Toc75433149"/>
            <w:r>
              <w:rPr>
                <w:rFonts w:hint="cs"/>
                <w:rtl/>
              </w:rPr>
              <w:t>אופן ניהול ההליך</w:t>
            </w:r>
            <w:bookmarkEnd w:id="50"/>
            <w:bookmarkEnd w:id="51"/>
          </w:p>
        </w:tc>
        <w:tc>
          <w:tcPr>
            <w:tcW w:w="624" w:type="dxa"/>
          </w:tcPr>
          <w:p w:rsidR="000A70C2" w:rsidRDefault="000A70C2" w:rsidP="00AB3999">
            <w:pPr>
              <w:pStyle w:val="TableText"/>
              <w:keepLines w:val="0"/>
              <w:numPr>
                <w:ilvl w:val="0"/>
                <w:numId w:val="3"/>
              </w:numPr>
            </w:pPr>
          </w:p>
        </w:tc>
        <w:tc>
          <w:tcPr>
            <w:tcW w:w="7146" w:type="dxa"/>
            <w:gridSpan w:val="5"/>
          </w:tcPr>
          <w:p w:rsidR="000A70C2" w:rsidRPr="00FE1884" w:rsidRDefault="000A70C2" w:rsidP="000A70C2">
            <w:pPr>
              <w:pStyle w:val="TableBlock"/>
              <w:keepLines w:val="0"/>
            </w:pPr>
            <w:r w:rsidRPr="00FE1884">
              <w:rPr>
                <w:rFonts w:hint="cs"/>
                <w:rtl/>
              </w:rPr>
              <w:t xml:space="preserve">ניהול ההליך על-ידי בית דין לתעבורה יתבצע באמצעות מערכת מקוונת, כפי שיקבע שר המשפטים לפי </w:t>
            </w:r>
            <w:r w:rsidRPr="00FE1884">
              <w:rPr>
                <w:rFonts w:hint="eastAsia"/>
                <w:rtl/>
              </w:rPr>
              <w:t>סעיף</w:t>
            </w:r>
            <w:r w:rsidRPr="00FE1884">
              <w:rPr>
                <w:rtl/>
              </w:rPr>
              <w:t xml:space="preserve"> 35(ב)</w:t>
            </w:r>
            <w:r w:rsidRPr="00FE1884">
              <w:rPr>
                <w:rFonts w:hint="cs"/>
                <w:rtl/>
              </w:rPr>
              <w:t xml:space="preserve">; </w:t>
            </w:r>
            <w:r w:rsidRPr="00FE1884">
              <w:rPr>
                <w:rFonts w:hint="cs"/>
                <w:sz w:val="26"/>
                <w:rtl/>
              </w:rPr>
              <w:t>"מערכת מקוונת" – מערכת מחשבים שבאמצעותה פועל בית הדין ומתנהלים הליכי הערר, לרבות הגשת כתבי בי-דין ומסמכים נוספים וצפייה בהחלטות ובמועדי דיון; בית הדין יפרסם באתר האינטרנט של בית הדין הודעה על דרך הגישה למערכת המקוונת</w:t>
            </w:r>
            <w:r w:rsidRPr="00FE1884">
              <w:rPr>
                <w:rFonts w:hint="cs"/>
                <w:rtl/>
              </w:rPr>
              <w:t>.</w:t>
            </w:r>
          </w:p>
        </w:tc>
      </w:tr>
      <w:tr w:rsidR="000A70C2">
        <w:trPr>
          <w:cantSplit/>
          <w:trHeight w:val="60"/>
        </w:trPr>
        <w:tc>
          <w:tcPr>
            <w:tcW w:w="1871" w:type="dxa"/>
          </w:tcPr>
          <w:p w:rsidR="000A70C2" w:rsidRDefault="000A70C2" w:rsidP="000A70C2">
            <w:pPr>
              <w:pStyle w:val="TableSideHeading"/>
              <w:keepLines w:val="0"/>
            </w:pPr>
            <w:bookmarkStart w:id="52" w:name="_Toc74773775"/>
            <w:bookmarkStart w:id="53" w:name="_Toc75433150"/>
            <w:r>
              <w:rPr>
                <w:rFonts w:hint="cs"/>
                <w:rtl/>
              </w:rPr>
              <w:t>דיון על-יסוד הכתב</w:t>
            </w:r>
            <w:bookmarkEnd w:id="52"/>
            <w:bookmarkEnd w:id="53"/>
          </w:p>
        </w:tc>
        <w:tc>
          <w:tcPr>
            <w:tcW w:w="624" w:type="dxa"/>
          </w:tcPr>
          <w:p w:rsidR="000A70C2" w:rsidRDefault="000A70C2" w:rsidP="00AB3999">
            <w:pPr>
              <w:pStyle w:val="TableText"/>
              <w:keepLines w:val="0"/>
              <w:numPr>
                <w:ilvl w:val="0"/>
                <w:numId w:val="3"/>
              </w:numPr>
            </w:pPr>
          </w:p>
        </w:tc>
        <w:tc>
          <w:tcPr>
            <w:tcW w:w="7146" w:type="dxa"/>
            <w:gridSpan w:val="5"/>
          </w:tcPr>
          <w:p w:rsidR="000A70C2" w:rsidRPr="001C425F" w:rsidRDefault="000A70C2" w:rsidP="000A70C2">
            <w:pPr>
              <w:pStyle w:val="TableBlock"/>
              <w:tabs>
                <w:tab w:val="clear" w:pos="624"/>
              </w:tabs>
              <w:rPr>
                <w:rtl/>
              </w:rPr>
            </w:pPr>
            <w:r w:rsidRPr="001C425F">
              <w:rPr>
                <w:rFonts w:hint="cs"/>
                <w:rtl/>
              </w:rPr>
              <w:t>בית דין לתעבורה ידון ויחליט בערר על פי טענות וראיות שהוגשו בכתב בלבד, אלא אם מצא שיש בכך כדי לפגוע בעשיית צדק בעניינם של הצדדים.</w:t>
            </w:r>
          </w:p>
        </w:tc>
      </w:tr>
      <w:tr w:rsidR="000A70C2">
        <w:trPr>
          <w:cantSplit/>
          <w:trHeight w:val="60"/>
        </w:trPr>
        <w:tc>
          <w:tcPr>
            <w:tcW w:w="1871" w:type="dxa"/>
          </w:tcPr>
          <w:p w:rsidR="000A70C2" w:rsidRDefault="000A70C2" w:rsidP="000A70C2">
            <w:pPr>
              <w:pStyle w:val="TableSideHeading"/>
              <w:keepLines w:val="0"/>
            </w:pPr>
            <w:bookmarkStart w:id="54" w:name="_Toc74773776"/>
            <w:bookmarkStart w:id="55" w:name="_Toc75433151"/>
            <w:r>
              <w:rPr>
                <w:rFonts w:hint="cs"/>
                <w:rtl/>
              </w:rPr>
              <w:t xml:space="preserve">חריג לקיום דיון על-יסוד הכתב </w:t>
            </w:r>
            <w:r>
              <w:rPr>
                <w:rtl/>
              </w:rPr>
              <w:t>–</w:t>
            </w:r>
            <w:r>
              <w:rPr>
                <w:rFonts w:hint="cs"/>
                <w:rtl/>
              </w:rPr>
              <w:t xml:space="preserve"> דיון באמצעים טכנולוגים</w:t>
            </w:r>
            <w:bookmarkEnd w:id="54"/>
            <w:bookmarkEnd w:id="55"/>
          </w:p>
        </w:tc>
        <w:tc>
          <w:tcPr>
            <w:tcW w:w="624" w:type="dxa"/>
          </w:tcPr>
          <w:p w:rsidR="000A70C2" w:rsidRDefault="000A70C2" w:rsidP="00AB3999">
            <w:pPr>
              <w:pStyle w:val="TableText"/>
              <w:keepLines w:val="0"/>
              <w:numPr>
                <w:ilvl w:val="0"/>
                <w:numId w:val="3"/>
              </w:numPr>
            </w:pPr>
          </w:p>
        </w:tc>
        <w:tc>
          <w:tcPr>
            <w:tcW w:w="7146" w:type="dxa"/>
            <w:gridSpan w:val="5"/>
          </w:tcPr>
          <w:p w:rsidR="000A70C2" w:rsidRPr="00FE1884" w:rsidRDefault="000A70C2" w:rsidP="00AB3999">
            <w:pPr>
              <w:pStyle w:val="TableBlock"/>
              <w:numPr>
                <w:ilvl w:val="0"/>
                <w:numId w:val="29"/>
              </w:numPr>
              <w:tabs>
                <w:tab w:val="left" w:pos="624"/>
              </w:tabs>
            </w:pPr>
            <w:r w:rsidRPr="00FE1884">
              <w:rPr>
                <w:rFonts w:hint="cs"/>
                <w:rtl/>
              </w:rPr>
              <w:t xml:space="preserve">החליט בית דין לתעבורה כאמור </w:t>
            </w:r>
            <w:r w:rsidRPr="00FE1884">
              <w:rPr>
                <w:rFonts w:hint="eastAsia"/>
                <w:rtl/>
              </w:rPr>
              <w:t>בסעיף</w:t>
            </w:r>
            <w:r w:rsidRPr="00FE1884">
              <w:rPr>
                <w:rtl/>
              </w:rPr>
              <w:t xml:space="preserve"> </w:t>
            </w:r>
            <w:r w:rsidRPr="00FE1884">
              <w:rPr>
                <w:rFonts w:hint="cs"/>
                <w:rtl/>
              </w:rPr>
              <w:t>19</w:t>
            </w:r>
            <w:r w:rsidRPr="00FE1884">
              <w:rPr>
                <w:rtl/>
              </w:rPr>
              <w:t xml:space="preserve"> </w:t>
            </w:r>
            <w:r w:rsidRPr="00FE1884">
              <w:rPr>
                <w:rFonts w:hint="eastAsia"/>
                <w:rtl/>
              </w:rPr>
              <w:t>סיפא</w:t>
            </w:r>
            <w:r w:rsidRPr="00FE1884">
              <w:rPr>
                <w:rFonts w:hint="cs"/>
                <w:rtl/>
              </w:rPr>
              <w:t xml:space="preserve">, יקיים דיון באמצעים טכנולוגיים כפי שיקבע שר המשפטים לפי </w:t>
            </w:r>
            <w:r w:rsidRPr="00FE1884">
              <w:rPr>
                <w:rFonts w:hint="eastAsia"/>
                <w:rtl/>
              </w:rPr>
              <w:t>סעיף</w:t>
            </w:r>
            <w:r w:rsidRPr="00FE1884">
              <w:rPr>
                <w:rtl/>
              </w:rPr>
              <w:t xml:space="preserve"> </w:t>
            </w:r>
            <w:r w:rsidRPr="00FE1884">
              <w:rPr>
                <w:rFonts w:hint="cs"/>
                <w:rtl/>
              </w:rPr>
              <w:t>35</w:t>
            </w:r>
            <w:r w:rsidRPr="00FE1884">
              <w:rPr>
                <w:rtl/>
              </w:rPr>
              <w:t>(א)</w:t>
            </w:r>
            <w:r w:rsidRPr="00FE1884">
              <w:rPr>
                <w:rFonts w:hint="cs"/>
                <w:rtl/>
              </w:rPr>
              <w:t xml:space="preserve">, </w:t>
            </w:r>
            <w:r w:rsidRPr="00FE1884">
              <w:rPr>
                <w:rFonts w:ascii="David" w:hAnsi="David"/>
                <w:sz w:val="26"/>
                <w:rtl/>
              </w:rPr>
              <w:t xml:space="preserve">אלא אם </w:t>
            </w:r>
            <w:r w:rsidRPr="00FE1884">
              <w:rPr>
                <w:rFonts w:ascii="David" w:hAnsi="David" w:hint="eastAsia"/>
                <w:sz w:val="26"/>
                <w:rtl/>
              </w:rPr>
              <w:t>כן</w:t>
            </w:r>
            <w:r w:rsidRPr="00FE1884">
              <w:rPr>
                <w:rFonts w:ascii="David" w:hAnsi="David"/>
                <w:sz w:val="26"/>
                <w:rtl/>
              </w:rPr>
              <w:t xml:space="preserve"> מצא, מיוזמת</w:t>
            </w:r>
            <w:r w:rsidRPr="00FE1884">
              <w:rPr>
                <w:rFonts w:ascii="David" w:hAnsi="David" w:hint="eastAsia"/>
                <w:sz w:val="26"/>
                <w:rtl/>
              </w:rPr>
              <w:t>ו</w:t>
            </w:r>
            <w:r w:rsidRPr="00FE1884">
              <w:rPr>
                <w:rFonts w:ascii="David" w:hAnsi="David"/>
                <w:sz w:val="26"/>
                <w:rtl/>
              </w:rPr>
              <w:t xml:space="preserve"> או לבקשת אחד הצדדים, שיש בכך כדי לפגוע בעשיית צדק בעניינם של הצדדים</w:t>
            </w:r>
            <w:r w:rsidRPr="00FE1884">
              <w:rPr>
                <w:rFonts w:hint="cs"/>
                <w:rtl/>
              </w:rPr>
              <w:t>.</w:t>
            </w:r>
          </w:p>
        </w:tc>
      </w:tr>
      <w:tr w:rsidR="000A70C2">
        <w:trPr>
          <w:cantSplit/>
          <w:trHeight w:val="60"/>
        </w:trPr>
        <w:tc>
          <w:tcPr>
            <w:tcW w:w="1871" w:type="dxa"/>
          </w:tcPr>
          <w:p w:rsidR="000A70C2" w:rsidRDefault="000A70C2" w:rsidP="000A70C2">
            <w:pPr>
              <w:pStyle w:val="TableSideHeading"/>
              <w:keepLines w:val="0"/>
              <w:rPr>
                <w:rtl/>
              </w:rPr>
            </w:pPr>
          </w:p>
        </w:tc>
        <w:tc>
          <w:tcPr>
            <w:tcW w:w="624" w:type="dxa"/>
          </w:tcPr>
          <w:p w:rsidR="000A70C2" w:rsidRDefault="000A70C2" w:rsidP="000A70C2">
            <w:pPr>
              <w:pStyle w:val="TableText"/>
            </w:pPr>
          </w:p>
        </w:tc>
        <w:tc>
          <w:tcPr>
            <w:tcW w:w="7146" w:type="dxa"/>
            <w:gridSpan w:val="5"/>
          </w:tcPr>
          <w:p w:rsidR="000A70C2" w:rsidRPr="001C425F" w:rsidRDefault="000A70C2" w:rsidP="00AB3999">
            <w:pPr>
              <w:pStyle w:val="TableBlock"/>
              <w:numPr>
                <w:ilvl w:val="0"/>
                <w:numId w:val="29"/>
              </w:numPr>
              <w:tabs>
                <w:tab w:val="left" w:pos="624"/>
              </w:tabs>
              <w:rPr>
                <w:rtl/>
              </w:rPr>
            </w:pPr>
            <w:r w:rsidRPr="001C425F">
              <w:rPr>
                <w:rFonts w:ascii="David" w:hAnsi="David" w:hint="cs"/>
                <w:sz w:val="26"/>
                <w:rtl/>
              </w:rPr>
              <w:t xml:space="preserve">שר המשפטים יקבע הוראות לעניין אופן קיום דיונים בפני בית דין לתעבורה, לרבות בדבר מקרים בהם יתקיים דיון באמצעים טכנולוגיים, עריכת התאמות נגישות נדרשות בהתאם להוראות שנקבעו לפי חוק שוויון זכויות לאנשים עם מוגבלות, ואפשרות להורות, בהחלטה מנומקת, על קיום דיון בנוכחות הצדדים, בין השאר בשים לב לעקרונות חוק שוויון זכויות לאנשים עם מוגבלות באופן שיבטיח קיום הליך נגיש ומתאים לצרכי אדם עם מוגבלות, ובשים לב למאפייניהם הייחודיים של קטינים </w:t>
            </w:r>
            <w:r w:rsidRPr="001C425F">
              <w:rPr>
                <w:rFonts w:hint="cs"/>
                <w:rtl/>
              </w:rPr>
              <w:t>ולעקרונות חוק הנוער (שפיטה, ענישה ודרכי טיפול), התשל"א-1971</w:t>
            </w:r>
            <w:r w:rsidRPr="001C425F">
              <w:rPr>
                <w:rStyle w:val="a9"/>
                <w:rtl/>
              </w:rPr>
              <w:footnoteReference w:id="16"/>
            </w:r>
            <w:r w:rsidRPr="001C425F">
              <w:rPr>
                <w:rFonts w:ascii="David" w:hAnsi="David" w:hint="cs"/>
                <w:sz w:val="26"/>
                <w:rtl/>
              </w:rPr>
              <w:t>.</w:t>
            </w:r>
          </w:p>
        </w:tc>
      </w:tr>
      <w:tr w:rsidR="000A70C2">
        <w:trPr>
          <w:cantSplit/>
          <w:trHeight w:val="60"/>
        </w:trPr>
        <w:tc>
          <w:tcPr>
            <w:tcW w:w="1871" w:type="dxa"/>
          </w:tcPr>
          <w:p w:rsidR="000A70C2" w:rsidRDefault="000A70C2" w:rsidP="000A70C2">
            <w:pPr>
              <w:pStyle w:val="TableSideHeading"/>
              <w:keepLines w:val="0"/>
            </w:pPr>
            <w:bookmarkStart w:id="56" w:name="_Toc74773777"/>
            <w:bookmarkStart w:id="57" w:name="_Toc75433152"/>
            <w:r>
              <w:rPr>
                <w:rFonts w:hint="cs"/>
                <w:rtl/>
              </w:rPr>
              <w:t>סמכות בערר</w:t>
            </w:r>
            <w:bookmarkEnd w:id="56"/>
            <w:bookmarkEnd w:id="57"/>
          </w:p>
        </w:tc>
        <w:tc>
          <w:tcPr>
            <w:tcW w:w="624" w:type="dxa"/>
          </w:tcPr>
          <w:p w:rsidR="000A70C2" w:rsidRDefault="000A70C2" w:rsidP="00AB3999">
            <w:pPr>
              <w:pStyle w:val="TableText"/>
              <w:keepLines w:val="0"/>
              <w:numPr>
                <w:ilvl w:val="0"/>
                <w:numId w:val="3"/>
              </w:numPr>
            </w:pPr>
          </w:p>
        </w:tc>
        <w:tc>
          <w:tcPr>
            <w:tcW w:w="7146" w:type="dxa"/>
            <w:gridSpan w:val="5"/>
          </w:tcPr>
          <w:p w:rsidR="000A70C2" w:rsidRPr="00EF6969" w:rsidRDefault="000A70C2" w:rsidP="000A70C2">
            <w:pPr>
              <w:pStyle w:val="TableBlock"/>
            </w:pPr>
            <w:r w:rsidRPr="00EF6969">
              <w:rPr>
                <w:rFonts w:hint="cs"/>
                <w:rtl/>
              </w:rPr>
              <w:t xml:space="preserve">בית </w:t>
            </w:r>
            <w:r>
              <w:rPr>
                <w:rFonts w:hint="cs"/>
                <w:rtl/>
              </w:rPr>
              <w:t>דין לתעבורה</w:t>
            </w:r>
            <w:r w:rsidRPr="00EF6969">
              <w:rPr>
                <w:rFonts w:hint="cs"/>
                <w:rtl/>
              </w:rPr>
              <w:t xml:space="preserve"> יקיים</w:t>
            </w:r>
            <w:r w:rsidRPr="00EF6969">
              <w:rPr>
                <w:rtl/>
              </w:rPr>
              <w:t xml:space="preserve"> ביקורת שיפוטית </w:t>
            </w:r>
            <w:r w:rsidRPr="00EF6969">
              <w:rPr>
                <w:rFonts w:hint="cs"/>
                <w:rtl/>
              </w:rPr>
              <w:t>ובתוך</w:t>
            </w:r>
            <w:r w:rsidRPr="00EF6969">
              <w:rPr>
                <w:rtl/>
              </w:rPr>
              <w:t xml:space="preserve"> </w:t>
            </w:r>
            <w:r w:rsidRPr="00EF6969">
              <w:rPr>
                <w:rFonts w:hint="cs"/>
                <w:rtl/>
              </w:rPr>
              <w:t xml:space="preserve">כך יהיה מוסמך לאשר את ההחלטה שעליה עוררים, לבטלה או להחזיר את העניין עם הוראות </w:t>
            </w:r>
            <w:r>
              <w:rPr>
                <w:rFonts w:hint="cs"/>
                <w:rtl/>
              </w:rPr>
              <w:t>לגורם האכיפה שקיבל את ההחלטה</w:t>
            </w:r>
            <w:r w:rsidRPr="00EF6969">
              <w:rPr>
                <w:rFonts w:hint="cs"/>
                <w:rtl/>
              </w:rPr>
              <w:t>.</w:t>
            </w:r>
          </w:p>
        </w:tc>
      </w:tr>
      <w:tr w:rsidR="000A70C2">
        <w:trPr>
          <w:cantSplit/>
          <w:trHeight w:val="60"/>
        </w:trPr>
        <w:tc>
          <w:tcPr>
            <w:tcW w:w="1871" w:type="dxa"/>
          </w:tcPr>
          <w:p w:rsidR="000A70C2" w:rsidRDefault="000A70C2" w:rsidP="000A70C2">
            <w:pPr>
              <w:pStyle w:val="TableSideHeading"/>
              <w:keepLines w:val="0"/>
            </w:pPr>
            <w:bookmarkStart w:id="58" w:name="_Toc74773778"/>
            <w:bookmarkStart w:id="59" w:name="_Toc75433153"/>
            <w:r>
              <w:rPr>
                <w:rFonts w:hint="cs"/>
                <w:rtl/>
              </w:rPr>
              <w:t>סמכות הדיין לעיין במרשמים</w:t>
            </w:r>
            <w:bookmarkEnd w:id="58"/>
            <w:bookmarkEnd w:id="59"/>
          </w:p>
        </w:tc>
        <w:tc>
          <w:tcPr>
            <w:tcW w:w="624" w:type="dxa"/>
          </w:tcPr>
          <w:p w:rsidR="000A70C2" w:rsidRDefault="000A70C2" w:rsidP="00AB3999">
            <w:pPr>
              <w:pStyle w:val="TableText"/>
              <w:keepLines w:val="0"/>
              <w:numPr>
                <w:ilvl w:val="0"/>
                <w:numId w:val="3"/>
              </w:numPr>
            </w:pPr>
          </w:p>
        </w:tc>
        <w:tc>
          <w:tcPr>
            <w:tcW w:w="7146" w:type="dxa"/>
            <w:gridSpan w:val="5"/>
          </w:tcPr>
          <w:p w:rsidR="000A70C2" w:rsidRPr="00C34DE2" w:rsidRDefault="000A70C2" w:rsidP="000A70C2">
            <w:pPr>
              <w:pStyle w:val="TableBlock"/>
              <w:keepLines w:val="0"/>
            </w:pPr>
            <w:r>
              <w:rPr>
                <w:rFonts w:hint="cs"/>
                <w:rtl/>
              </w:rPr>
              <w:t xml:space="preserve">עלתה טענה שנוגעת לרישום קודם בעניינו של עורר שיש לבררה, רשאי הדיין לעיין בפרטי מרשם התעבורה </w:t>
            </w:r>
            <w:proofErr w:type="spellStart"/>
            <w:r>
              <w:rPr>
                <w:rFonts w:hint="cs"/>
                <w:rtl/>
              </w:rPr>
              <w:t>המינהלי</w:t>
            </w:r>
            <w:proofErr w:type="spellEnd"/>
            <w:r>
              <w:rPr>
                <w:rFonts w:hint="cs"/>
                <w:rtl/>
              </w:rPr>
              <w:t xml:space="preserve"> לצורך הכרעה בעניינה. </w:t>
            </w:r>
            <w:r w:rsidRPr="00B24132">
              <w:rPr>
                <w:rFonts w:hint="eastAsia"/>
                <w:rtl/>
              </w:rPr>
              <w:t>אין</w:t>
            </w:r>
            <w:r w:rsidRPr="00B24132">
              <w:rPr>
                <w:rtl/>
              </w:rPr>
              <w:t xml:space="preserve"> ב</w:t>
            </w:r>
            <w:r>
              <w:rPr>
                <w:rtl/>
              </w:rPr>
              <w:t xml:space="preserve">הוראה זו בכדי לגרוע מסמכות בית </w:t>
            </w:r>
            <w:r w:rsidRPr="00B24132">
              <w:rPr>
                <w:rtl/>
              </w:rPr>
              <w:t xml:space="preserve">דין לתעבורה לפי הוראות חוק </w:t>
            </w:r>
            <w:r w:rsidRPr="00B24132">
              <w:rPr>
                <w:rFonts w:hint="eastAsia"/>
                <w:rtl/>
              </w:rPr>
              <w:t>המרשם</w:t>
            </w:r>
            <w:r w:rsidRPr="00B24132">
              <w:rPr>
                <w:rtl/>
              </w:rPr>
              <w:t xml:space="preserve"> </w:t>
            </w:r>
            <w:r w:rsidRPr="00B24132">
              <w:rPr>
                <w:rFonts w:hint="eastAsia"/>
                <w:rtl/>
              </w:rPr>
              <w:t>הפלילי</w:t>
            </w:r>
            <w:r w:rsidRPr="00D1529B">
              <w:rPr>
                <w:rFonts w:hint="cs"/>
                <w:rtl/>
              </w:rPr>
              <w:t>.</w:t>
            </w:r>
            <w:r>
              <w:rPr>
                <w:rFonts w:hint="cs"/>
                <w:rtl/>
              </w:rPr>
              <w:t xml:space="preserve"> בסעיף זה, "רישום קודם" </w:t>
            </w:r>
            <w:r>
              <w:rPr>
                <w:rtl/>
              </w:rPr>
              <w:t>–</w:t>
            </w:r>
            <w:r>
              <w:rPr>
                <w:rFonts w:hint="cs"/>
                <w:rtl/>
              </w:rPr>
              <w:t xml:space="preserve"> לרבות רישום במרשם התעבורה </w:t>
            </w:r>
            <w:proofErr w:type="spellStart"/>
            <w:r>
              <w:rPr>
                <w:rFonts w:hint="cs"/>
                <w:rtl/>
              </w:rPr>
              <w:t>המינהלי</w:t>
            </w:r>
            <w:proofErr w:type="spellEnd"/>
            <w:r>
              <w:rPr>
                <w:rFonts w:hint="cs"/>
                <w:rtl/>
              </w:rPr>
              <w:t xml:space="preserve"> או במרשם הפלילי.</w:t>
            </w:r>
          </w:p>
        </w:tc>
      </w:tr>
      <w:tr w:rsidR="000A70C2">
        <w:trPr>
          <w:cantSplit/>
          <w:trHeight w:val="60"/>
        </w:trPr>
        <w:tc>
          <w:tcPr>
            <w:tcW w:w="1871" w:type="dxa"/>
          </w:tcPr>
          <w:p w:rsidR="000A70C2" w:rsidRDefault="000A70C2" w:rsidP="000A70C2">
            <w:pPr>
              <w:pStyle w:val="TableSideHeading"/>
              <w:keepLines w:val="0"/>
            </w:pPr>
            <w:bookmarkStart w:id="60" w:name="_Toc74773779"/>
            <w:bookmarkStart w:id="61" w:name="_Toc75433154"/>
            <w:r>
              <w:rPr>
                <w:rFonts w:hint="cs"/>
                <w:rtl/>
              </w:rPr>
              <w:t xml:space="preserve">תחולת הוראות חוק בתי דין </w:t>
            </w:r>
            <w:proofErr w:type="spellStart"/>
            <w:r>
              <w:rPr>
                <w:rFonts w:hint="cs"/>
                <w:rtl/>
              </w:rPr>
              <w:t>מינהליים</w:t>
            </w:r>
            <w:bookmarkEnd w:id="60"/>
            <w:bookmarkEnd w:id="61"/>
            <w:proofErr w:type="spellEnd"/>
          </w:p>
        </w:tc>
        <w:tc>
          <w:tcPr>
            <w:tcW w:w="624" w:type="dxa"/>
          </w:tcPr>
          <w:p w:rsidR="000A70C2" w:rsidRDefault="000A70C2" w:rsidP="00AB3999">
            <w:pPr>
              <w:pStyle w:val="TableText"/>
              <w:keepLines w:val="0"/>
              <w:numPr>
                <w:ilvl w:val="0"/>
                <w:numId w:val="3"/>
              </w:numPr>
            </w:pPr>
          </w:p>
        </w:tc>
        <w:tc>
          <w:tcPr>
            <w:tcW w:w="7146" w:type="dxa"/>
            <w:gridSpan w:val="5"/>
          </w:tcPr>
          <w:p w:rsidR="000A70C2" w:rsidRPr="00C34DE2" w:rsidRDefault="000A70C2" w:rsidP="000A70C2">
            <w:pPr>
              <w:pStyle w:val="TableBlock"/>
              <w:keepLines w:val="0"/>
            </w:pPr>
            <w:r>
              <w:rPr>
                <w:rFonts w:hint="cs"/>
                <w:rtl/>
              </w:rPr>
              <w:t xml:space="preserve">ההוראות לפי חוק בתי דין </w:t>
            </w:r>
            <w:proofErr w:type="spellStart"/>
            <w:r>
              <w:rPr>
                <w:rFonts w:hint="cs"/>
                <w:rtl/>
              </w:rPr>
              <w:t>מינהליים</w:t>
            </w:r>
            <w:proofErr w:type="spellEnd"/>
            <w:r>
              <w:rPr>
                <w:rFonts w:hint="cs"/>
                <w:rtl/>
              </w:rPr>
              <w:t xml:space="preserve">, למעט לפי סעיפים 5, 7, 8, 13, 14, 16, 17, 18, 26, 36, 37, 41 ו-45 יחולו על בית דין </w:t>
            </w:r>
            <w:r w:rsidRPr="00194AA8">
              <w:rPr>
                <w:rFonts w:hint="cs"/>
                <w:rtl/>
              </w:rPr>
              <w:t xml:space="preserve">לתעבורה ועל ערר, ובלבד שאין בכך דבר שאינו מתיישב עם הוראות </w:t>
            </w:r>
            <w:r w:rsidRPr="00194AA8">
              <w:rPr>
                <w:rFonts w:hint="eastAsia"/>
                <w:rtl/>
              </w:rPr>
              <w:t>חוק</w:t>
            </w:r>
            <w:r w:rsidRPr="00194AA8">
              <w:rPr>
                <w:rtl/>
              </w:rPr>
              <w:t xml:space="preserve"> </w:t>
            </w:r>
            <w:r w:rsidRPr="00194AA8">
              <w:rPr>
                <w:rFonts w:hint="eastAsia"/>
                <w:rtl/>
              </w:rPr>
              <w:t>זה</w:t>
            </w:r>
            <w:r w:rsidRPr="00194AA8">
              <w:rPr>
                <w:rFonts w:hint="cs"/>
                <w:rtl/>
              </w:rPr>
              <w:t xml:space="preserve"> או עם תק</w:t>
            </w:r>
            <w:r>
              <w:rPr>
                <w:rFonts w:hint="cs"/>
                <w:rtl/>
              </w:rPr>
              <w:t>נותיו.</w:t>
            </w:r>
          </w:p>
        </w:tc>
      </w:tr>
      <w:tr w:rsidR="000A70C2">
        <w:trPr>
          <w:cantSplit/>
          <w:trHeight w:val="60"/>
        </w:trPr>
        <w:tc>
          <w:tcPr>
            <w:tcW w:w="1871" w:type="dxa"/>
          </w:tcPr>
          <w:p w:rsidR="000A70C2" w:rsidRDefault="000A70C2" w:rsidP="000A70C2">
            <w:pPr>
              <w:pStyle w:val="TableSideHeading"/>
              <w:keepLines w:val="0"/>
            </w:pPr>
            <w:bookmarkStart w:id="62" w:name="_Toc74773780"/>
            <w:bookmarkStart w:id="63" w:name="_Toc75433155"/>
            <w:r>
              <w:rPr>
                <w:rFonts w:hint="cs"/>
                <w:rtl/>
              </w:rPr>
              <w:t>ערעור על החלטת בית הדין לתעבורה</w:t>
            </w:r>
            <w:bookmarkEnd w:id="62"/>
            <w:bookmarkEnd w:id="63"/>
          </w:p>
        </w:tc>
        <w:tc>
          <w:tcPr>
            <w:tcW w:w="624" w:type="dxa"/>
          </w:tcPr>
          <w:p w:rsidR="000A70C2" w:rsidRDefault="000A70C2" w:rsidP="00AB3999">
            <w:pPr>
              <w:pStyle w:val="TableText"/>
              <w:keepLines w:val="0"/>
              <w:numPr>
                <w:ilvl w:val="0"/>
                <w:numId w:val="3"/>
              </w:numPr>
            </w:pPr>
          </w:p>
        </w:tc>
        <w:tc>
          <w:tcPr>
            <w:tcW w:w="7146" w:type="dxa"/>
            <w:gridSpan w:val="5"/>
          </w:tcPr>
          <w:p w:rsidR="000A70C2" w:rsidRPr="00C34DE2" w:rsidRDefault="000A70C2" w:rsidP="00AB3999">
            <w:pPr>
              <w:pStyle w:val="TableBlock"/>
              <w:numPr>
                <w:ilvl w:val="0"/>
                <w:numId w:val="30"/>
              </w:numPr>
              <w:tabs>
                <w:tab w:val="left" w:pos="624"/>
              </w:tabs>
            </w:pPr>
            <w:r>
              <w:rPr>
                <w:rFonts w:hint="cs"/>
                <w:rtl/>
              </w:rPr>
              <w:t>על החלטה סופית של בית דין לתעבורה ניתן לערער בפני בית משפט שלום לענייני תעבורה, כמשמעותו בפקודת התעבורה, בתוך 45 ימים מיום מתן ההחלטה הסופית.</w:t>
            </w:r>
          </w:p>
        </w:tc>
      </w:tr>
      <w:tr w:rsidR="000A70C2">
        <w:trPr>
          <w:cantSplit/>
          <w:trHeight w:val="60"/>
        </w:trPr>
        <w:tc>
          <w:tcPr>
            <w:tcW w:w="1871" w:type="dxa"/>
          </w:tcPr>
          <w:p w:rsidR="000A70C2" w:rsidRDefault="000A70C2" w:rsidP="000A70C2">
            <w:pPr>
              <w:pStyle w:val="TableSideHeading"/>
              <w:keepLines w:val="0"/>
              <w:rPr>
                <w:rtl/>
              </w:rPr>
            </w:pPr>
          </w:p>
        </w:tc>
        <w:tc>
          <w:tcPr>
            <w:tcW w:w="624" w:type="dxa"/>
          </w:tcPr>
          <w:p w:rsidR="000A70C2" w:rsidRDefault="000A70C2" w:rsidP="000A70C2">
            <w:pPr>
              <w:pStyle w:val="TableText"/>
            </w:pPr>
          </w:p>
        </w:tc>
        <w:tc>
          <w:tcPr>
            <w:tcW w:w="7146" w:type="dxa"/>
            <w:gridSpan w:val="5"/>
          </w:tcPr>
          <w:p w:rsidR="000A70C2" w:rsidRDefault="000A70C2" w:rsidP="00AB3999">
            <w:pPr>
              <w:pStyle w:val="TableBlock"/>
              <w:numPr>
                <w:ilvl w:val="0"/>
                <w:numId w:val="30"/>
              </w:numPr>
              <w:tabs>
                <w:tab w:val="left" w:pos="624"/>
              </w:tabs>
              <w:rPr>
                <w:rtl/>
              </w:rPr>
            </w:pPr>
            <w:r>
              <w:rPr>
                <w:rFonts w:hint="cs"/>
                <w:rtl/>
              </w:rPr>
              <w:t xml:space="preserve">על החלטה אחרת של בית דין לתעבורה ניתן לערער בפני בית משפט שלום לענייני תעבורה, אם ניתנה לכך רשות מאת שופט של בית משפט שלום לענייני תעבורה. לעניין זה, "החלטה אחרת" </w:t>
            </w:r>
            <w:r>
              <w:rPr>
                <w:rtl/>
              </w:rPr>
              <w:t>–</w:t>
            </w:r>
            <w:r>
              <w:rPr>
                <w:rFonts w:hint="cs"/>
                <w:rtl/>
              </w:rPr>
              <w:t xml:space="preserve"> החלטה שניתנה לאחר פסק דין ואינה נבלעת בו; החלטה בעניין סמכות עניינית או התיישנות; החלטה על דחיית בקשה להארכת מועד שמשמעותה שלילת האפשרות לפתוח בהליך; החלטה בעניין פסלות דיין; החלטה בעניין אגרה, עירבון או ערובה; וכן החלטה בעניינים נוספים שקבע שר המשפטים בצו, באישור ועדת הכלכלה של הכנסת.</w:t>
            </w:r>
          </w:p>
        </w:tc>
      </w:tr>
      <w:tr w:rsidR="000A70C2">
        <w:trPr>
          <w:cantSplit/>
          <w:trHeight w:val="60"/>
        </w:trPr>
        <w:tc>
          <w:tcPr>
            <w:tcW w:w="1871" w:type="dxa"/>
          </w:tcPr>
          <w:p w:rsidR="000A70C2" w:rsidRDefault="000A70C2" w:rsidP="000A70C2">
            <w:pPr>
              <w:pStyle w:val="TableSideHeading"/>
              <w:keepLines w:val="0"/>
              <w:rPr>
                <w:rtl/>
              </w:rPr>
            </w:pPr>
          </w:p>
        </w:tc>
        <w:tc>
          <w:tcPr>
            <w:tcW w:w="624" w:type="dxa"/>
          </w:tcPr>
          <w:p w:rsidR="000A70C2" w:rsidRDefault="000A70C2" w:rsidP="000A70C2">
            <w:pPr>
              <w:pStyle w:val="TableText"/>
            </w:pPr>
          </w:p>
        </w:tc>
        <w:tc>
          <w:tcPr>
            <w:tcW w:w="7146" w:type="dxa"/>
            <w:gridSpan w:val="5"/>
          </w:tcPr>
          <w:p w:rsidR="000A70C2" w:rsidRDefault="000A70C2" w:rsidP="00AB3999">
            <w:pPr>
              <w:pStyle w:val="TableBlock"/>
              <w:numPr>
                <w:ilvl w:val="0"/>
                <w:numId w:val="30"/>
              </w:numPr>
              <w:tabs>
                <w:tab w:val="left" w:pos="624"/>
              </w:tabs>
              <w:rPr>
                <w:rtl/>
              </w:rPr>
            </w:pPr>
            <w:r w:rsidRPr="000D3521">
              <w:rPr>
                <w:rFonts w:hint="cs"/>
                <w:rtl/>
              </w:rPr>
              <w:t xml:space="preserve">ערעור לפי סעיף זה יידון כערעור </w:t>
            </w:r>
            <w:proofErr w:type="spellStart"/>
            <w:r w:rsidRPr="000D3521">
              <w:rPr>
                <w:rFonts w:hint="cs"/>
                <w:rtl/>
              </w:rPr>
              <w:t>מינהלי</w:t>
            </w:r>
            <w:proofErr w:type="spellEnd"/>
            <w:r w:rsidRPr="000D3521">
              <w:rPr>
                <w:rFonts w:hint="cs"/>
                <w:rtl/>
              </w:rPr>
              <w:t xml:space="preserve">, כמשמעו בסעיף 5(2) לחוק בתי משפט </w:t>
            </w:r>
            <w:proofErr w:type="spellStart"/>
            <w:r w:rsidRPr="000D3521">
              <w:rPr>
                <w:rFonts w:hint="cs"/>
                <w:rtl/>
              </w:rPr>
              <w:t>לענינים</w:t>
            </w:r>
            <w:proofErr w:type="spellEnd"/>
            <w:r w:rsidRPr="000D3521">
              <w:rPr>
                <w:rFonts w:hint="cs"/>
                <w:rtl/>
              </w:rPr>
              <w:t xml:space="preserve"> </w:t>
            </w:r>
            <w:proofErr w:type="spellStart"/>
            <w:r w:rsidRPr="000D3521">
              <w:rPr>
                <w:rFonts w:hint="cs"/>
                <w:rtl/>
              </w:rPr>
              <w:t>מינהליים</w:t>
            </w:r>
            <w:proofErr w:type="spellEnd"/>
            <w:r w:rsidRPr="000D3521">
              <w:rPr>
                <w:rFonts w:hint="cs"/>
                <w:rtl/>
              </w:rPr>
              <w:t>, ובלבד שאין בכך דבר שאינו מתיישב עם הוראות חוק זה או תקנותיו.</w:t>
            </w:r>
          </w:p>
        </w:tc>
      </w:tr>
      <w:tr w:rsidR="000A70C2">
        <w:trPr>
          <w:cantSplit/>
          <w:trHeight w:val="60"/>
        </w:trPr>
        <w:tc>
          <w:tcPr>
            <w:tcW w:w="1871" w:type="dxa"/>
          </w:tcPr>
          <w:p w:rsidR="000A70C2" w:rsidRDefault="000A70C2" w:rsidP="000A70C2">
            <w:pPr>
              <w:pStyle w:val="TableSideHeading"/>
              <w:keepLines w:val="0"/>
              <w:rPr>
                <w:rtl/>
              </w:rPr>
            </w:pPr>
          </w:p>
        </w:tc>
        <w:tc>
          <w:tcPr>
            <w:tcW w:w="624" w:type="dxa"/>
          </w:tcPr>
          <w:p w:rsidR="000A70C2" w:rsidRDefault="000A70C2" w:rsidP="000A70C2">
            <w:pPr>
              <w:pStyle w:val="TableText"/>
            </w:pPr>
          </w:p>
        </w:tc>
        <w:tc>
          <w:tcPr>
            <w:tcW w:w="7146" w:type="dxa"/>
            <w:gridSpan w:val="5"/>
          </w:tcPr>
          <w:p w:rsidR="000A70C2" w:rsidRPr="000D3521" w:rsidRDefault="000A70C2" w:rsidP="00AB3999">
            <w:pPr>
              <w:pStyle w:val="TableBlock"/>
              <w:numPr>
                <w:ilvl w:val="0"/>
                <w:numId w:val="30"/>
              </w:numPr>
              <w:tabs>
                <w:tab w:val="left" w:pos="624"/>
              </w:tabs>
              <w:rPr>
                <w:rtl/>
              </w:rPr>
            </w:pPr>
            <w:r w:rsidRPr="001F5B65">
              <w:rPr>
                <w:rFonts w:hint="cs"/>
                <w:rtl/>
              </w:rPr>
              <w:t xml:space="preserve">אין בהגשת ערעור לפי סעיף קטן (א) כדי לעכב את תשלום </w:t>
            </w:r>
            <w:r>
              <w:rPr>
                <w:rFonts w:hint="cs"/>
                <w:rtl/>
              </w:rPr>
              <w:t xml:space="preserve">הקנס </w:t>
            </w:r>
            <w:proofErr w:type="spellStart"/>
            <w:r>
              <w:rPr>
                <w:rFonts w:hint="cs"/>
                <w:rtl/>
              </w:rPr>
              <w:t>המינהלי</w:t>
            </w:r>
            <w:proofErr w:type="spellEnd"/>
            <w:r w:rsidRPr="001F5B65">
              <w:rPr>
                <w:rFonts w:hint="cs"/>
                <w:rtl/>
              </w:rPr>
              <w:t>, אלא אם כן בית המשפט הורה על כך</w:t>
            </w:r>
            <w:r>
              <w:rPr>
                <w:rFonts w:hint="cs"/>
                <w:rtl/>
              </w:rPr>
              <w:t>.</w:t>
            </w:r>
          </w:p>
        </w:tc>
      </w:tr>
      <w:tr w:rsidR="000A70C2">
        <w:trPr>
          <w:cantSplit/>
          <w:trHeight w:val="60"/>
        </w:trPr>
        <w:tc>
          <w:tcPr>
            <w:tcW w:w="1871" w:type="dxa"/>
          </w:tcPr>
          <w:p w:rsidR="000A70C2" w:rsidRDefault="000A70C2" w:rsidP="000A70C2">
            <w:pPr>
              <w:pStyle w:val="TableSideHeading"/>
              <w:keepLines w:val="0"/>
            </w:pPr>
            <w:bookmarkStart w:id="64" w:name="_Toc74773781"/>
            <w:bookmarkStart w:id="65" w:name="_Toc75433156"/>
            <w:r>
              <w:rPr>
                <w:rFonts w:hint="cs"/>
                <w:rtl/>
              </w:rPr>
              <w:t>רשות ערעור על פסק דין של בית משפט שלום לענייני תעבורה</w:t>
            </w:r>
            <w:bookmarkEnd w:id="64"/>
            <w:bookmarkEnd w:id="65"/>
          </w:p>
        </w:tc>
        <w:tc>
          <w:tcPr>
            <w:tcW w:w="624" w:type="dxa"/>
          </w:tcPr>
          <w:p w:rsidR="000A70C2" w:rsidRDefault="000A70C2" w:rsidP="00AB3999">
            <w:pPr>
              <w:pStyle w:val="TableText"/>
              <w:keepLines w:val="0"/>
              <w:numPr>
                <w:ilvl w:val="0"/>
                <w:numId w:val="3"/>
              </w:numPr>
            </w:pPr>
          </w:p>
        </w:tc>
        <w:tc>
          <w:tcPr>
            <w:tcW w:w="7146" w:type="dxa"/>
            <w:gridSpan w:val="5"/>
          </w:tcPr>
          <w:p w:rsidR="000A70C2" w:rsidRPr="00C34DE2" w:rsidRDefault="000A70C2" w:rsidP="000A70C2">
            <w:pPr>
              <w:pStyle w:val="TableBlock"/>
              <w:keepLines w:val="0"/>
            </w:pPr>
            <w:r>
              <w:rPr>
                <w:rFonts w:hint="cs"/>
                <w:rtl/>
              </w:rPr>
              <w:t xml:space="preserve">על </w:t>
            </w:r>
            <w:r w:rsidRPr="006B7958">
              <w:rPr>
                <w:rFonts w:hint="eastAsia"/>
                <w:rtl/>
              </w:rPr>
              <w:t>החלטת</w:t>
            </w:r>
            <w:r w:rsidRPr="006B7958">
              <w:rPr>
                <w:rtl/>
              </w:rPr>
              <w:t xml:space="preserve"> בית משפט </w:t>
            </w:r>
            <w:r>
              <w:rPr>
                <w:rFonts w:hint="cs"/>
                <w:rtl/>
              </w:rPr>
              <w:t xml:space="preserve">שלום לענייני </w:t>
            </w:r>
            <w:r w:rsidRPr="006B7958">
              <w:rPr>
                <w:rtl/>
              </w:rPr>
              <w:t xml:space="preserve">תעבורה </w:t>
            </w:r>
            <w:r w:rsidRPr="00BF1FBD">
              <w:rPr>
                <w:rtl/>
              </w:rPr>
              <w:t xml:space="preserve">בערעור </w:t>
            </w:r>
            <w:r w:rsidRPr="00BF1FBD">
              <w:rPr>
                <w:rFonts w:hint="cs"/>
                <w:rtl/>
              </w:rPr>
              <w:t>ניתן לערער</w:t>
            </w:r>
            <w:r w:rsidRPr="00BF1FBD">
              <w:rPr>
                <w:rtl/>
              </w:rPr>
              <w:t xml:space="preserve"> בפני</w:t>
            </w:r>
            <w:r w:rsidRPr="00BF1FBD">
              <w:rPr>
                <w:rFonts w:hint="cs"/>
                <w:rtl/>
              </w:rPr>
              <w:t xml:space="preserve"> </w:t>
            </w:r>
            <w:r w:rsidRPr="00BF1FBD">
              <w:rPr>
                <w:rtl/>
              </w:rPr>
              <w:t>בית משפט המחוזי</w:t>
            </w:r>
            <w:r w:rsidRPr="00BF1FBD">
              <w:rPr>
                <w:rFonts w:hint="cs"/>
                <w:rtl/>
              </w:rPr>
              <w:t xml:space="preserve"> בשבתו כבית משפט </w:t>
            </w:r>
            <w:proofErr w:type="spellStart"/>
            <w:r w:rsidRPr="00BF1FBD">
              <w:rPr>
                <w:rFonts w:hint="cs"/>
                <w:rtl/>
              </w:rPr>
              <w:t>לענינים</w:t>
            </w:r>
            <w:proofErr w:type="spellEnd"/>
            <w:r w:rsidRPr="00BF1FBD">
              <w:rPr>
                <w:rFonts w:hint="cs"/>
                <w:rtl/>
              </w:rPr>
              <w:t xml:space="preserve"> </w:t>
            </w:r>
            <w:proofErr w:type="spellStart"/>
            <w:r w:rsidRPr="00BF1FBD">
              <w:rPr>
                <w:rFonts w:hint="cs"/>
                <w:rtl/>
              </w:rPr>
              <w:t>מינהליים</w:t>
            </w:r>
            <w:proofErr w:type="spellEnd"/>
            <w:r>
              <w:rPr>
                <w:rFonts w:hint="cs"/>
                <w:rtl/>
              </w:rPr>
              <w:t>,</w:t>
            </w:r>
            <w:r w:rsidRPr="00BF1FBD">
              <w:rPr>
                <w:rtl/>
              </w:rPr>
              <w:t xml:space="preserve"> </w:t>
            </w:r>
            <w:r w:rsidRPr="00BF1FBD">
              <w:rPr>
                <w:rFonts w:hint="cs"/>
                <w:rtl/>
              </w:rPr>
              <w:t>כהגדרתו</w:t>
            </w:r>
            <w:r>
              <w:rPr>
                <w:rFonts w:hint="cs"/>
                <w:rtl/>
              </w:rPr>
              <w:t xml:space="preserve"> בחוק בתי משפט </w:t>
            </w:r>
            <w:proofErr w:type="spellStart"/>
            <w:r>
              <w:rPr>
                <w:rFonts w:hint="cs"/>
                <w:rtl/>
              </w:rPr>
              <w:t>לענינים</w:t>
            </w:r>
            <w:proofErr w:type="spellEnd"/>
            <w:r>
              <w:rPr>
                <w:rFonts w:hint="cs"/>
                <w:rtl/>
              </w:rPr>
              <w:t xml:space="preserve"> </w:t>
            </w:r>
            <w:proofErr w:type="spellStart"/>
            <w:r>
              <w:rPr>
                <w:rFonts w:hint="cs"/>
                <w:rtl/>
              </w:rPr>
              <w:t>מינהליים</w:t>
            </w:r>
            <w:proofErr w:type="spellEnd"/>
            <w:r>
              <w:rPr>
                <w:rFonts w:hint="cs"/>
                <w:rtl/>
              </w:rPr>
              <w:t xml:space="preserve">, </w:t>
            </w:r>
            <w:r w:rsidRPr="006B7958">
              <w:rPr>
                <w:rFonts w:hint="eastAsia"/>
                <w:rtl/>
              </w:rPr>
              <w:t>אם</w:t>
            </w:r>
            <w:r w:rsidRPr="006B7958">
              <w:rPr>
                <w:rtl/>
              </w:rPr>
              <w:t xml:space="preserve"> ניתנה לכך רשות </w:t>
            </w:r>
            <w:r w:rsidRPr="006B7958">
              <w:rPr>
                <w:rFonts w:hint="eastAsia"/>
                <w:rtl/>
              </w:rPr>
              <w:t>מאת</w:t>
            </w:r>
            <w:r w:rsidRPr="006B7958">
              <w:rPr>
                <w:rtl/>
              </w:rPr>
              <w:t xml:space="preserve"> </w:t>
            </w:r>
            <w:r w:rsidRPr="006B7958">
              <w:rPr>
                <w:rFonts w:hint="eastAsia"/>
                <w:rtl/>
              </w:rPr>
              <w:t>שופט</w:t>
            </w:r>
            <w:r w:rsidRPr="006B7958">
              <w:rPr>
                <w:rtl/>
              </w:rPr>
              <w:t xml:space="preserve"> </w:t>
            </w:r>
            <w:r w:rsidRPr="006B7958">
              <w:rPr>
                <w:rFonts w:hint="eastAsia"/>
                <w:rtl/>
              </w:rPr>
              <w:t>של</w:t>
            </w:r>
            <w:r w:rsidRPr="006B7958">
              <w:rPr>
                <w:rtl/>
              </w:rPr>
              <w:t xml:space="preserve"> </w:t>
            </w:r>
            <w:r w:rsidRPr="006B7958">
              <w:rPr>
                <w:rFonts w:hint="eastAsia"/>
                <w:rtl/>
              </w:rPr>
              <w:t>בית</w:t>
            </w:r>
            <w:r w:rsidRPr="006B7958">
              <w:rPr>
                <w:rtl/>
              </w:rPr>
              <w:t xml:space="preserve"> </w:t>
            </w:r>
            <w:r w:rsidRPr="006B7958">
              <w:rPr>
                <w:rFonts w:hint="eastAsia"/>
                <w:rtl/>
              </w:rPr>
              <w:t>משפט</w:t>
            </w:r>
            <w:r w:rsidRPr="006B7958">
              <w:rPr>
                <w:rtl/>
              </w:rPr>
              <w:t xml:space="preserve"> </w:t>
            </w:r>
            <w:r w:rsidRPr="006B7958">
              <w:rPr>
                <w:rFonts w:hint="eastAsia"/>
                <w:rtl/>
              </w:rPr>
              <w:t>מחוזי</w:t>
            </w:r>
            <w:r>
              <w:rPr>
                <w:rFonts w:hint="cs"/>
                <w:rtl/>
              </w:rPr>
              <w:t xml:space="preserve"> בשבתו כבית משפט </w:t>
            </w:r>
            <w:proofErr w:type="spellStart"/>
            <w:r>
              <w:rPr>
                <w:rFonts w:hint="cs"/>
                <w:rtl/>
              </w:rPr>
              <w:t>לענינים</w:t>
            </w:r>
            <w:proofErr w:type="spellEnd"/>
            <w:r>
              <w:rPr>
                <w:rFonts w:hint="cs"/>
                <w:rtl/>
              </w:rPr>
              <w:t xml:space="preserve"> </w:t>
            </w:r>
            <w:proofErr w:type="spellStart"/>
            <w:r>
              <w:rPr>
                <w:rFonts w:hint="cs"/>
                <w:rtl/>
              </w:rPr>
              <w:t>מינהליים</w:t>
            </w:r>
            <w:proofErr w:type="spellEnd"/>
            <w:r>
              <w:rPr>
                <w:rFonts w:hint="cs"/>
                <w:rtl/>
              </w:rPr>
              <w:t>.</w:t>
            </w:r>
          </w:p>
        </w:tc>
      </w:tr>
      <w:tr w:rsidR="000A70C2">
        <w:trPr>
          <w:cantSplit/>
          <w:trHeight w:val="60"/>
        </w:trPr>
        <w:tc>
          <w:tcPr>
            <w:tcW w:w="1871" w:type="dxa"/>
          </w:tcPr>
          <w:p w:rsidR="000A70C2" w:rsidRDefault="000A70C2">
            <w:pPr>
              <w:pStyle w:val="TableSideHeading"/>
            </w:pPr>
          </w:p>
        </w:tc>
        <w:tc>
          <w:tcPr>
            <w:tcW w:w="624" w:type="dxa"/>
          </w:tcPr>
          <w:p w:rsidR="000A70C2" w:rsidRDefault="000A70C2">
            <w:pPr>
              <w:pStyle w:val="TableText"/>
            </w:pPr>
          </w:p>
        </w:tc>
        <w:tc>
          <w:tcPr>
            <w:tcW w:w="7146" w:type="dxa"/>
            <w:gridSpan w:val="5"/>
          </w:tcPr>
          <w:p w:rsidR="000A70C2" w:rsidRPr="00C34DE2" w:rsidRDefault="000A70C2" w:rsidP="000A70C2">
            <w:pPr>
              <w:pStyle w:val="TableHead"/>
            </w:pPr>
            <w:bookmarkStart w:id="66" w:name="_Toc74773782"/>
            <w:bookmarkStart w:id="67" w:name="_Toc75433157"/>
            <w:r>
              <w:rPr>
                <w:rFonts w:hint="cs"/>
                <w:rtl/>
              </w:rPr>
              <w:t xml:space="preserve">פרק ד': מרשם התעבורה </w:t>
            </w:r>
            <w:proofErr w:type="spellStart"/>
            <w:r>
              <w:rPr>
                <w:rFonts w:hint="cs"/>
                <w:rtl/>
              </w:rPr>
              <w:t>המינהלי</w:t>
            </w:r>
            <w:bookmarkEnd w:id="66"/>
            <w:bookmarkEnd w:id="67"/>
            <w:proofErr w:type="spellEnd"/>
          </w:p>
        </w:tc>
      </w:tr>
      <w:tr w:rsidR="000A70C2">
        <w:trPr>
          <w:cantSplit/>
          <w:trHeight w:val="60"/>
        </w:trPr>
        <w:tc>
          <w:tcPr>
            <w:tcW w:w="1871" w:type="dxa"/>
          </w:tcPr>
          <w:p w:rsidR="000A70C2" w:rsidRDefault="00AB3999" w:rsidP="000A70C2">
            <w:pPr>
              <w:pStyle w:val="TableSideHeading"/>
              <w:keepLines w:val="0"/>
            </w:pPr>
            <w:bookmarkStart w:id="68" w:name="_Toc74773783"/>
            <w:bookmarkStart w:id="69" w:name="_Toc75433158"/>
            <w:r>
              <w:rPr>
                <w:rFonts w:hint="cs"/>
                <w:rtl/>
              </w:rPr>
              <w:t>מרשם</w:t>
            </w:r>
            <w:r w:rsidR="000A70C2">
              <w:rPr>
                <w:rFonts w:hint="cs"/>
                <w:rtl/>
              </w:rPr>
              <w:t xml:space="preserve"> התעבורה </w:t>
            </w:r>
            <w:proofErr w:type="spellStart"/>
            <w:r w:rsidR="000A70C2">
              <w:rPr>
                <w:rFonts w:hint="cs"/>
                <w:rtl/>
              </w:rPr>
              <w:t>המינהלי</w:t>
            </w:r>
            <w:bookmarkEnd w:id="68"/>
            <w:bookmarkEnd w:id="69"/>
            <w:proofErr w:type="spellEnd"/>
          </w:p>
        </w:tc>
        <w:tc>
          <w:tcPr>
            <w:tcW w:w="624" w:type="dxa"/>
          </w:tcPr>
          <w:p w:rsidR="000A70C2" w:rsidRDefault="000A70C2" w:rsidP="00AB3999">
            <w:pPr>
              <w:pStyle w:val="TableText"/>
              <w:keepLines w:val="0"/>
              <w:numPr>
                <w:ilvl w:val="0"/>
                <w:numId w:val="3"/>
              </w:numPr>
            </w:pPr>
          </w:p>
        </w:tc>
        <w:tc>
          <w:tcPr>
            <w:tcW w:w="7146" w:type="dxa"/>
            <w:gridSpan w:val="5"/>
          </w:tcPr>
          <w:p w:rsidR="000A70C2" w:rsidRPr="00C34DE2" w:rsidRDefault="000A70C2" w:rsidP="0054394A">
            <w:pPr>
              <w:pStyle w:val="TableBlock"/>
              <w:numPr>
                <w:ilvl w:val="0"/>
                <w:numId w:val="31"/>
              </w:numPr>
              <w:tabs>
                <w:tab w:val="left" w:pos="624"/>
              </w:tabs>
            </w:pPr>
            <w:r w:rsidRPr="00A80CD1">
              <w:rPr>
                <w:rFonts w:hint="eastAsia"/>
                <w:rtl/>
              </w:rPr>
              <w:t>משטרת</w:t>
            </w:r>
            <w:r w:rsidRPr="00A80CD1">
              <w:rPr>
                <w:rtl/>
              </w:rPr>
              <w:t xml:space="preserve"> </w:t>
            </w:r>
            <w:r w:rsidRPr="00A80CD1">
              <w:rPr>
                <w:rFonts w:hint="eastAsia"/>
                <w:rtl/>
              </w:rPr>
              <w:t>ישראל</w:t>
            </w:r>
            <w:r w:rsidRPr="00A80CD1">
              <w:rPr>
                <w:rtl/>
              </w:rPr>
              <w:t xml:space="preserve"> </w:t>
            </w:r>
            <w:r w:rsidRPr="00A80CD1">
              <w:rPr>
                <w:rFonts w:hint="eastAsia"/>
                <w:rtl/>
              </w:rPr>
              <w:t>תנהל</w:t>
            </w:r>
            <w:r w:rsidRPr="00A80CD1">
              <w:rPr>
                <w:rtl/>
              </w:rPr>
              <w:t xml:space="preserve"> </w:t>
            </w:r>
            <w:r w:rsidRPr="00A80CD1">
              <w:rPr>
                <w:rFonts w:hint="eastAsia"/>
                <w:rtl/>
              </w:rPr>
              <w:t>מאגר</w:t>
            </w:r>
            <w:r w:rsidRPr="00A80CD1">
              <w:rPr>
                <w:rtl/>
              </w:rPr>
              <w:t xml:space="preserve"> </w:t>
            </w:r>
            <w:r w:rsidRPr="00A80CD1">
              <w:rPr>
                <w:rFonts w:hint="eastAsia"/>
                <w:rtl/>
              </w:rPr>
              <w:t>מידע</w:t>
            </w:r>
            <w:r w:rsidRPr="00A80CD1">
              <w:rPr>
                <w:rtl/>
              </w:rPr>
              <w:t xml:space="preserve"> </w:t>
            </w:r>
            <w:r>
              <w:rPr>
                <w:rFonts w:hint="cs"/>
                <w:rtl/>
              </w:rPr>
              <w:t>שיכלול את</w:t>
            </w:r>
            <w:r w:rsidRPr="00A80CD1">
              <w:rPr>
                <w:rtl/>
              </w:rPr>
              <w:t xml:space="preserve"> </w:t>
            </w:r>
            <w:r w:rsidRPr="00A80CD1">
              <w:rPr>
                <w:rFonts w:hint="eastAsia"/>
                <w:rtl/>
              </w:rPr>
              <w:t>הנתונים</w:t>
            </w:r>
            <w:r w:rsidRPr="00A80CD1">
              <w:rPr>
                <w:rtl/>
              </w:rPr>
              <w:t xml:space="preserve"> </w:t>
            </w:r>
            <w:r w:rsidRPr="00A80CD1">
              <w:rPr>
                <w:rFonts w:hint="eastAsia"/>
                <w:rtl/>
              </w:rPr>
              <w:t>המפורטים</w:t>
            </w:r>
            <w:r w:rsidRPr="00A80CD1">
              <w:rPr>
                <w:rtl/>
              </w:rPr>
              <w:t xml:space="preserve"> בסעיף קטן (</w:t>
            </w:r>
            <w:r>
              <w:rPr>
                <w:rFonts w:hint="cs"/>
                <w:rtl/>
              </w:rPr>
              <w:t>ג</w:t>
            </w:r>
            <w:r w:rsidRPr="00A80CD1">
              <w:rPr>
                <w:rtl/>
              </w:rPr>
              <w:t xml:space="preserve">), לגבי </w:t>
            </w:r>
            <w:r w:rsidRPr="00A80CD1">
              <w:rPr>
                <w:rFonts w:hint="eastAsia"/>
                <w:rtl/>
              </w:rPr>
              <w:t>כל</w:t>
            </w:r>
            <w:r w:rsidRPr="00A80CD1">
              <w:rPr>
                <w:rtl/>
              </w:rPr>
              <w:t xml:space="preserve"> </w:t>
            </w:r>
            <w:r w:rsidRPr="00A80CD1">
              <w:rPr>
                <w:rFonts w:hint="eastAsia"/>
                <w:rtl/>
              </w:rPr>
              <w:t>אדם</w:t>
            </w:r>
            <w:r w:rsidRPr="00A80CD1">
              <w:rPr>
                <w:rtl/>
              </w:rPr>
              <w:t xml:space="preserve"> </w:t>
            </w:r>
            <w:r w:rsidRPr="00A80CD1">
              <w:rPr>
                <w:rFonts w:hint="eastAsia"/>
                <w:rtl/>
              </w:rPr>
              <w:t>שביצע</w:t>
            </w:r>
            <w:r w:rsidRPr="00A80CD1">
              <w:rPr>
                <w:rtl/>
              </w:rPr>
              <w:t xml:space="preserve"> </w:t>
            </w:r>
            <w:r w:rsidRPr="00A80CD1">
              <w:rPr>
                <w:rFonts w:hint="eastAsia"/>
                <w:rtl/>
              </w:rPr>
              <w:t>הפרת</w:t>
            </w:r>
            <w:r w:rsidRPr="00A80CD1">
              <w:rPr>
                <w:rtl/>
              </w:rPr>
              <w:t xml:space="preserve"> </w:t>
            </w:r>
            <w:r w:rsidRPr="00A80CD1">
              <w:rPr>
                <w:rFonts w:hint="eastAsia"/>
                <w:rtl/>
              </w:rPr>
              <w:t>תעבורה</w:t>
            </w:r>
            <w:r w:rsidRPr="00A80CD1">
              <w:rPr>
                <w:rtl/>
              </w:rPr>
              <w:t xml:space="preserve"> </w:t>
            </w:r>
            <w:r w:rsidRPr="00A80CD1">
              <w:rPr>
                <w:rFonts w:hint="eastAsia"/>
                <w:rtl/>
              </w:rPr>
              <w:t>וכל</w:t>
            </w:r>
            <w:r w:rsidRPr="00A80CD1">
              <w:rPr>
                <w:rtl/>
              </w:rPr>
              <w:t xml:space="preserve"> </w:t>
            </w:r>
            <w:r w:rsidRPr="00A80CD1">
              <w:rPr>
                <w:rFonts w:hint="eastAsia"/>
                <w:rtl/>
              </w:rPr>
              <w:t>עוד</w:t>
            </w:r>
            <w:r w:rsidRPr="00A80CD1">
              <w:rPr>
                <w:rtl/>
              </w:rPr>
              <w:t xml:space="preserve"> </w:t>
            </w:r>
            <w:r w:rsidRPr="00A80CD1">
              <w:rPr>
                <w:rFonts w:hint="eastAsia"/>
                <w:rtl/>
              </w:rPr>
              <w:t>ההחלטה</w:t>
            </w:r>
            <w:r w:rsidRPr="00A80CD1">
              <w:rPr>
                <w:rtl/>
              </w:rPr>
              <w:t xml:space="preserve"> </w:t>
            </w:r>
            <w:r w:rsidR="0054394A">
              <w:rPr>
                <w:rFonts w:hint="cs"/>
                <w:rtl/>
              </w:rPr>
              <w:t>עומדת בתוקפה</w:t>
            </w:r>
            <w:r w:rsidRPr="00A80CD1">
              <w:rPr>
                <w:rFonts w:hint="cs"/>
                <w:rtl/>
              </w:rPr>
              <w:t>.</w:t>
            </w:r>
          </w:p>
        </w:tc>
      </w:tr>
      <w:tr w:rsidR="000A70C2">
        <w:trPr>
          <w:cantSplit/>
          <w:trHeight w:val="60"/>
        </w:trPr>
        <w:tc>
          <w:tcPr>
            <w:tcW w:w="1871" w:type="dxa"/>
          </w:tcPr>
          <w:p w:rsidR="000A70C2" w:rsidRDefault="000A70C2" w:rsidP="000A70C2">
            <w:pPr>
              <w:pStyle w:val="TableSideHeading"/>
              <w:keepLines w:val="0"/>
              <w:rPr>
                <w:rtl/>
              </w:rPr>
            </w:pPr>
          </w:p>
        </w:tc>
        <w:tc>
          <w:tcPr>
            <w:tcW w:w="624" w:type="dxa"/>
          </w:tcPr>
          <w:p w:rsidR="000A70C2" w:rsidRDefault="000A70C2" w:rsidP="000A70C2">
            <w:pPr>
              <w:pStyle w:val="TableText"/>
            </w:pPr>
          </w:p>
        </w:tc>
        <w:tc>
          <w:tcPr>
            <w:tcW w:w="7146" w:type="dxa"/>
            <w:gridSpan w:val="5"/>
          </w:tcPr>
          <w:p w:rsidR="000A70C2" w:rsidRPr="00FE1884" w:rsidRDefault="000A70C2" w:rsidP="0082002F">
            <w:pPr>
              <w:pStyle w:val="TableBlock"/>
              <w:numPr>
                <w:ilvl w:val="0"/>
                <w:numId w:val="31"/>
              </w:numPr>
              <w:tabs>
                <w:tab w:val="left" w:pos="624"/>
              </w:tabs>
              <w:rPr>
                <w:rtl/>
              </w:rPr>
            </w:pPr>
            <w:r w:rsidRPr="00FE1884">
              <w:rPr>
                <w:rFonts w:hint="cs"/>
                <w:rtl/>
              </w:rPr>
              <w:t>פרטי הרישום המפורטים בסעיף קטן (ג)</w:t>
            </w:r>
            <w:r w:rsidRPr="00FE1884">
              <w:rPr>
                <w:rtl/>
              </w:rPr>
              <w:t xml:space="preserve">, יימסרו למשטרה על ידי גוף </w:t>
            </w:r>
            <w:r w:rsidRPr="00FE1884">
              <w:rPr>
                <w:rFonts w:hint="cs"/>
                <w:rtl/>
              </w:rPr>
              <w:t xml:space="preserve">המוסמך להטיל קנס </w:t>
            </w:r>
            <w:r w:rsidR="0082002F" w:rsidRPr="00FE1884">
              <w:rPr>
                <w:rFonts w:hint="cs"/>
                <w:rtl/>
              </w:rPr>
              <w:t xml:space="preserve">הפרה </w:t>
            </w:r>
            <w:r w:rsidRPr="00FE1884">
              <w:rPr>
                <w:rFonts w:hint="cs"/>
                <w:rtl/>
              </w:rPr>
              <w:t>או לנהל הליך משפטי לפי חוק זה</w:t>
            </w:r>
            <w:r w:rsidRPr="00FE1884">
              <w:rPr>
                <w:rtl/>
              </w:rPr>
              <w:t>, בדרך ובמועד שיקבעו שר המשפטים והשר לביטחון הפנים</w:t>
            </w:r>
            <w:r w:rsidRPr="00FE1884">
              <w:rPr>
                <w:rFonts w:hint="cs"/>
                <w:rtl/>
              </w:rPr>
              <w:t>.</w:t>
            </w:r>
          </w:p>
        </w:tc>
      </w:tr>
      <w:tr w:rsidR="000A70C2">
        <w:trPr>
          <w:cantSplit/>
          <w:trHeight w:val="60"/>
        </w:trPr>
        <w:tc>
          <w:tcPr>
            <w:tcW w:w="1871" w:type="dxa"/>
          </w:tcPr>
          <w:p w:rsidR="000A70C2" w:rsidRDefault="000A70C2" w:rsidP="000A70C2">
            <w:pPr>
              <w:pStyle w:val="TableSideHeading"/>
              <w:keepLines w:val="0"/>
              <w:rPr>
                <w:rtl/>
              </w:rPr>
            </w:pPr>
          </w:p>
        </w:tc>
        <w:tc>
          <w:tcPr>
            <w:tcW w:w="624" w:type="dxa"/>
          </w:tcPr>
          <w:p w:rsidR="000A70C2" w:rsidRDefault="000A70C2" w:rsidP="000A70C2">
            <w:pPr>
              <w:pStyle w:val="TableText"/>
            </w:pPr>
          </w:p>
        </w:tc>
        <w:tc>
          <w:tcPr>
            <w:tcW w:w="7146" w:type="dxa"/>
            <w:gridSpan w:val="5"/>
          </w:tcPr>
          <w:p w:rsidR="000A70C2" w:rsidRPr="00FE1884" w:rsidRDefault="000A70C2" w:rsidP="00AB3999">
            <w:pPr>
              <w:pStyle w:val="TableBlock"/>
              <w:numPr>
                <w:ilvl w:val="0"/>
                <w:numId w:val="31"/>
              </w:numPr>
              <w:tabs>
                <w:tab w:val="left" w:pos="624"/>
              </w:tabs>
              <w:rPr>
                <w:rtl/>
              </w:rPr>
            </w:pPr>
            <w:r w:rsidRPr="00FE1884">
              <w:rPr>
                <w:rFonts w:hint="cs"/>
                <w:rtl/>
              </w:rPr>
              <w:t xml:space="preserve">מרשם התעבורה </w:t>
            </w:r>
            <w:proofErr w:type="spellStart"/>
            <w:r w:rsidRPr="00FE1884">
              <w:rPr>
                <w:rFonts w:hint="cs"/>
                <w:rtl/>
              </w:rPr>
              <w:t>המינהלי</w:t>
            </w:r>
            <w:proofErr w:type="spellEnd"/>
            <w:r w:rsidRPr="00FE1884">
              <w:rPr>
                <w:rFonts w:hint="cs"/>
                <w:rtl/>
              </w:rPr>
              <w:t xml:space="preserve"> יכלול נתונים אלה:</w:t>
            </w:r>
          </w:p>
        </w:tc>
      </w:tr>
      <w:tr w:rsidR="000A70C2">
        <w:trPr>
          <w:cantSplit/>
          <w:trHeight w:val="60"/>
        </w:trPr>
        <w:tc>
          <w:tcPr>
            <w:tcW w:w="1871" w:type="dxa"/>
          </w:tcPr>
          <w:p w:rsidR="000A70C2" w:rsidRDefault="000A70C2">
            <w:pPr>
              <w:pStyle w:val="TableSideHeading"/>
            </w:pPr>
          </w:p>
        </w:tc>
        <w:tc>
          <w:tcPr>
            <w:tcW w:w="624" w:type="dxa"/>
          </w:tcPr>
          <w:p w:rsidR="000A70C2" w:rsidRDefault="000A70C2">
            <w:pPr>
              <w:pStyle w:val="TableText"/>
            </w:pPr>
          </w:p>
        </w:tc>
        <w:tc>
          <w:tcPr>
            <w:tcW w:w="624" w:type="dxa"/>
          </w:tcPr>
          <w:p w:rsidR="000A70C2" w:rsidRPr="00FE1884" w:rsidRDefault="000A70C2">
            <w:pPr>
              <w:pStyle w:val="TableText"/>
            </w:pPr>
          </w:p>
        </w:tc>
        <w:tc>
          <w:tcPr>
            <w:tcW w:w="6522" w:type="dxa"/>
            <w:gridSpan w:val="4"/>
          </w:tcPr>
          <w:p w:rsidR="000A70C2" w:rsidRPr="00FE1884" w:rsidRDefault="000A70C2" w:rsidP="00AB3999">
            <w:pPr>
              <w:pStyle w:val="TableBlock"/>
              <w:numPr>
                <w:ilvl w:val="0"/>
                <w:numId w:val="32"/>
              </w:numPr>
              <w:tabs>
                <w:tab w:val="left" w:pos="624"/>
              </w:tabs>
            </w:pPr>
            <w:r w:rsidRPr="00FE1884">
              <w:rPr>
                <w:rFonts w:hint="cs"/>
                <w:rtl/>
              </w:rPr>
              <w:t>שמו הפרטי של האדם, שם משפחתו ומספר הזהות שלו;</w:t>
            </w:r>
          </w:p>
        </w:tc>
      </w:tr>
      <w:tr w:rsidR="000A70C2">
        <w:trPr>
          <w:cantSplit/>
          <w:trHeight w:val="60"/>
        </w:trPr>
        <w:tc>
          <w:tcPr>
            <w:tcW w:w="1871" w:type="dxa"/>
          </w:tcPr>
          <w:p w:rsidR="000A70C2" w:rsidRDefault="000A70C2">
            <w:pPr>
              <w:pStyle w:val="TableSideHeading"/>
            </w:pPr>
          </w:p>
        </w:tc>
        <w:tc>
          <w:tcPr>
            <w:tcW w:w="624" w:type="dxa"/>
          </w:tcPr>
          <w:p w:rsidR="000A70C2" w:rsidRDefault="000A70C2" w:rsidP="000A70C2">
            <w:pPr>
              <w:pStyle w:val="TableText"/>
            </w:pPr>
          </w:p>
        </w:tc>
        <w:tc>
          <w:tcPr>
            <w:tcW w:w="624" w:type="dxa"/>
          </w:tcPr>
          <w:p w:rsidR="000A70C2" w:rsidRPr="00FE1884" w:rsidRDefault="000A70C2">
            <w:pPr>
              <w:pStyle w:val="TableText"/>
            </w:pPr>
          </w:p>
        </w:tc>
        <w:tc>
          <w:tcPr>
            <w:tcW w:w="6522" w:type="dxa"/>
            <w:gridSpan w:val="4"/>
          </w:tcPr>
          <w:p w:rsidR="000A70C2" w:rsidRPr="00FE1884" w:rsidRDefault="000A70C2" w:rsidP="00AB3999">
            <w:pPr>
              <w:pStyle w:val="TableBlock"/>
              <w:numPr>
                <w:ilvl w:val="0"/>
                <w:numId w:val="32"/>
              </w:numPr>
              <w:tabs>
                <w:tab w:val="left" w:pos="624"/>
              </w:tabs>
            </w:pPr>
            <w:r w:rsidRPr="00FE1884">
              <w:rPr>
                <w:rFonts w:hint="cs"/>
                <w:rtl/>
              </w:rPr>
              <w:t>הפרת התעבורה שבוצעה ומועד ביצועה;</w:t>
            </w:r>
          </w:p>
        </w:tc>
      </w:tr>
      <w:tr w:rsidR="000A70C2">
        <w:trPr>
          <w:cantSplit/>
          <w:trHeight w:val="60"/>
        </w:trPr>
        <w:tc>
          <w:tcPr>
            <w:tcW w:w="1871" w:type="dxa"/>
          </w:tcPr>
          <w:p w:rsidR="000A70C2" w:rsidRDefault="000A70C2">
            <w:pPr>
              <w:pStyle w:val="TableSideHeading"/>
            </w:pPr>
          </w:p>
        </w:tc>
        <w:tc>
          <w:tcPr>
            <w:tcW w:w="624" w:type="dxa"/>
          </w:tcPr>
          <w:p w:rsidR="000A70C2" w:rsidRDefault="000A70C2" w:rsidP="000A70C2">
            <w:pPr>
              <w:pStyle w:val="TableText"/>
            </w:pPr>
          </w:p>
        </w:tc>
        <w:tc>
          <w:tcPr>
            <w:tcW w:w="624" w:type="dxa"/>
          </w:tcPr>
          <w:p w:rsidR="000A70C2" w:rsidRPr="00FE1884" w:rsidRDefault="000A70C2">
            <w:pPr>
              <w:pStyle w:val="TableText"/>
            </w:pPr>
          </w:p>
        </w:tc>
        <w:tc>
          <w:tcPr>
            <w:tcW w:w="6522" w:type="dxa"/>
            <w:gridSpan w:val="4"/>
          </w:tcPr>
          <w:p w:rsidR="000A70C2" w:rsidRPr="00FE1884" w:rsidRDefault="000A70C2" w:rsidP="0082002F">
            <w:pPr>
              <w:pStyle w:val="TableBlock"/>
              <w:numPr>
                <w:ilvl w:val="0"/>
                <w:numId w:val="32"/>
              </w:numPr>
              <w:tabs>
                <w:tab w:val="left" w:pos="624"/>
              </w:tabs>
            </w:pPr>
            <w:r w:rsidRPr="00FE1884">
              <w:rPr>
                <w:rFonts w:hint="cs"/>
                <w:rtl/>
              </w:rPr>
              <w:t xml:space="preserve">גובה </w:t>
            </w:r>
            <w:r w:rsidR="0082002F" w:rsidRPr="00FE1884">
              <w:rPr>
                <w:rFonts w:hint="cs"/>
                <w:rtl/>
              </w:rPr>
              <w:t>קנס הפרה</w:t>
            </w:r>
            <w:r w:rsidRPr="00FE1884">
              <w:rPr>
                <w:rFonts w:hint="cs"/>
                <w:rtl/>
              </w:rPr>
              <w:t xml:space="preserve"> שהוטל בשל הפר</w:t>
            </w:r>
            <w:r w:rsidR="0082002F" w:rsidRPr="00FE1884">
              <w:rPr>
                <w:rFonts w:hint="cs"/>
                <w:rtl/>
              </w:rPr>
              <w:t>ת תעבורה</w:t>
            </w:r>
            <w:r w:rsidRPr="00FE1884">
              <w:rPr>
                <w:rFonts w:hint="cs"/>
                <w:rtl/>
              </w:rPr>
              <w:t>;</w:t>
            </w:r>
          </w:p>
        </w:tc>
      </w:tr>
      <w:tr w:rsidR="000A70C2">
        <w:trPr>
          <w:cantSplit/>
          <w:trHeight w:val="60"/>
        </w:trPr>
        <w:tc>
          <w:tcPr>
            <w:tcW w:w="1871" w:type="dxa"/>
          </w:tcPr>
          <w:p w:rsidR="000A70C2" w:rsidRDefault="000A70C2">
            <w:pPr>
              <w:pStyle w:val="TableSideHeading"/>
            </w:pPr>
          </w:p>
        </w:tc>
        <w:tc>
          <w:tcPr>
            <w:tcW w:w="624" w:type="dxa"/>
          </w:tcPr>
          <w:p w:rsidR="000A70C2" w:rsidRDefault="000A70C2" w:rsidP="000A70C2">
            <w:pPr>
              <w:pStyle w:val="TableText"/>
            </w:pPr>
          </w:p>
        </w:tc>
        <w:tc>
          <w:tcPr>
            <w:tcW w:w="624" w:type="dxa"/>
          </w:tcPr>
          <w:p w:rsidR="000A70C2" w:rsidRPr="00FE1884" w:rsidRDefault="000A70C2">
            <w:pPr>
              <w:pStyle w:val="TableText"/>
            </w:pPr>
          </w:p>
        </w:tc>
        <w:tc>
          <w:tcPr>
            <w:tcW w:w="6522" w:type="dxa"/>
            <w:gridSpan w:val="4"/>
          </w:tcPr>
          <w:p w:rsidR="000A70C2" w:rsidRPr="00FE1884" w:rsidRDefault="000A70C2" w:rsidP="0082002F">
            <w:pPr>
              <w:pStyle w:val="TableBlock"/>
              <w:numPr>
                <w:ilvl w:val="0"/>
                <w:numId w:val="32"/>
              </w:numPr>
              <w:tabs>
                <w:tab w:val="left" w:pos="624"/>
              </w:tabs>
            </w:pPr>
            <w:r w:rsidRPr="00FE1884">
              <w:rPr>
                <w:rFonts w:hint="cs"/>
                <w:rtl/>
              </w:rPr>
              <w:t xml:space="preserve">מועד תשלום </w:t>
            </w:r>
            <w:r w:rsidR="0082002F" w:rsidRPr="00FE1884">
              <w:rPr>
                <w:rFonts w:hint="cs"/>
                <w:rtl/>
              </w:rPr>
              <w:t>קנס ההפרה</w:t>
            </w:r>
            <w:r w:rsidRPr="00FE1884">
              <w:rPr>
                <w:rFonts w:hint="cs"/>
                <w:rtl/>
              </w:rPr>
              <w:t>;</w:t>
            </w:r>
          </w:p>
        </w:tc>
      </w:tr>
      <w:tr w:rsidR="000A70C2">
        <w:trPr>
          <w:cantSplit/>
          <w:trHeight w:val="60"/>
        </w:trPr>
        <w:tc>
          <w:tcPr>
            <w:tcW w:w="1871" w:type="dxa"/>
          </w:tcPr>
          <w:p w:rsidR="000A70C2" w:rsidRDefault="000A70C2">
            <w:pPr>
              <w:pStyle w:val="TableSideHeading"/>
            </w:pPr>
          </w:p>
        </w:tc>
        <w:tc>
          <w:tcPr>
            <w:tcW w:w="624" w:type="dxa"/>
          </w:tcPr>
          <w:p w:rsidR="000A70C2" w:rsidRDefault="000A70C2" w:rsidP="000A70C2">
            <w:pPr>
              <w:pStyle w:val="TableText"/>
            </w:pPr>
          </w:p>
        </w:tc>
        <w:tc>
          <w:tcPr>
            <w:tcW w:w="624" w:type="dxa"/>
          </w:tcPr>
          <w:p w:rsidR="000A70C2" w:rsidRPr="00FE1884" w:rsidRDefault="000A70C2">
            <w:pPr>
              <w:pStyle w:val="TableText"/>
            </w:pPr>
          </w:p>
        </w:tc>
        <w:tc>
          <w:tcPr>
            <w:tcW w:w="6522" w:type="dxa"/>
            <w:gridSpan w:val="4"/>
          </w:tcPr>
          <w:p w:rsidR="000A70C2" w:rsidRPr="00FE1884" w:rsidRDefault="000A70C2" w:rsidP="00AB3999">
            <w:pPr>
              <w:pStyle w:val="TableBlock"/>
              <w:numPr>
                <w:ilvl w:val="0"/>
                <w:numId w:val="32"/>
              </w:numPr>
              <w:tabs>
                <w:tab w:val="left" w:pos="624"/>
              </w:tabs>
            </w:pPr>
            <w:r w:rsidRPr="00FE1884">
              <w:rPr>
                <w:rtl/>
              </w:rPr>
              <w:t xml:space="preserve">מידע נוסף על </w:t>
            </w:r>
            <w:r w:rsidRPr="00FE1884">
              <w:rPr>
                <w:rFonts w:hint="cs"/>
                <w:rtl/>
              </w:rPr>
              <w:t xml:space="preserve">ההליך המשפטי </w:t>
            </w:r>
            <w:r w:rsidRPr="00FE1884">
              <w:rPr>
                <w:rtl/>
              </w:rPr>
              <w:t xml:space="preserve">הנוגע לפרטי </w:t>
            </w:r>
            <w:r w:rsidRPr="00FE1884">
              <w:rPr>
                <w:rFonts w:hint="cs"/>
                <w:rtl/>
              </w:rPr>
              <w:t>ה</w:t>
            </w:r>
            <w:r w:rsidRPr="00FE1884">
              <w:rPr>
                <w:rtl/>
              </w:rPr>
              <w:t xml:space="preserve">רישום, ובכלל זה </w:t>
            </w:r>
            <w:r w:rsidRPr="00FE1884">
              <w:rPr>
                <w:rFonts w:hint="cs"/>
                <w:rtl/>
              </w:rPr>
              <w:t xml:space="preserve">ההחלטה בהליך, </w:t>
            </w:r>
            <w:r w:rsidRPr="00FE1884">
              <w:rPr>
                <w:rtl/>
              </w:rPr>
              <w:t>מועדי קבלת החלטות שיפוטיות והחלטות אחרות על פי דין</w:t>
            </w:r>
            <w:r w:rsidRPr="00FE1884">
              <w:rPr>
                <w:rFonts w:hint="cs"/>
                <w:rtl/>
              </w:rPr>
              <w:t>.</w:t>
            </w:r>
          </w:p>
        </w:tc>
      </w:tr>
      <w:tr w:rsidR="000A70C2">
        <w:trPr>
          <w:cantSplit/>
          <w:trHeight w:val="60"/>
        </w:trPr>
        <w:tc>
          <w:tcPr>
            <w:tcW w:w="1871" w:type="dxa"/>
          </w:tcPr>
          <w:p w:rsidR="000A70C2" w:rsidRDefault="000A70C2">
            <w:pPr>
              <w:pStyle w:val="TableSideHeading"/>
            </w:pPr>
          </w:p>
        </w:tc>
        <w:tc>
          <w:tcPr>
            <w:tcW w:w="624" w:type="dxa"/>
          </w:tcPr>
          <w:p w:rsidR="000A70C2" w:rsidRDefault="000A70C2">
            <w:pPr>
              <w:pStyle w:val="TableText"/>
            </w:pPr>
          </w:p>
        </w:tc>
        <w:tc>
          <w:tcPr>
            <w:tcW w:w="7146" w:type="dxa"/>
            <w:gridSpan w:val="5"/>
          </w:tcPr>
          <w:p w:rsidR="000A70C2" w:rsidRPr="00C34DE2" w:rsidRDefault="000A70C2" w:rsidP="00AB3999">
            <w:pPr>
              <w:pStyle w:val="TableBlock"/>
              <w:numPr>
                <w:ilvl w:val="0"/>
                <w:numId w:val="31"/>
              </w:numPr>
              <w:tabs>
                <w:tab w:val="left" w:pos="624"/>
              </w:tabs>
            </w:pPr>
            <w:r>
              <w:rPr>
                <w:rFonts w:hint="cs"/>
                <w:rtl/>
              </w:rPr>
              <w:t>אין באמור בסעיף זה כדי לגרוע מסמכות המשטרה לנהל רישומים אחרים הדרושים לה לצרכיה.</w:t>
            </w:r>
          </w:p>
        </w:tc>
      </w:tr>
      <w:tr w:rsidR="000A70C2">
        <w:trPr>
          <w:cantSplit/>
          <w:trHeight w:val="60"/>
        </w:trPr>
        <w:tc>
          <w:tcPr>
            <w:tcW w:w="1871" w:type="dxa"/>
          </w:tcPr>
          <w:p w:rsidR="000A70C2" w:rsidRDefault="000A70C2" w:rsidP="000A70C2">
            <w:pPr>
              <w:pStyle w:val="TableSideHeading"/>
              <w:keepLines w:val="0"/>
            </w:pPr>
            <w:bookmarkStart w:id="70" w:name="_Toc74773784"/>
            <w:bookmarkStart w:id="71" w:name="_Toc75433159"/>
            <w:r>
              <w:rPr>
                <w:rFonts w:hint="cs"/>
                <w:rtl/>
              </w:rPr>
              <w:t>חיסיון המרשם</w:t>
            </w:r>
            <w:bookmarkEnd w:id="70"/>
            <w:bookmarkEnd w:id="71"/>
          </w:p>
        </w:tc>
        <w:tc>
          <w:tcPr>
            <w:tcW w:w="624" w:type="dxa"/>
          </w:tcPr>
          <w:p w:rsidR="000A70C2" w:rsidRDefault="000A70C2" w:rsidP="00AB3999">
            <w:pPr>
              <w:pStyle w:val="TableText"/>
              <w:keepLines w:val="0"/>
              <w:numPr>
                <w:ilvl w:val="0"/>
                <w:numId w:val="3"/>
              </w:numPr>
            </w:pPr>
          </w:p>
        </w:tc>
        <w:tc>
          <w:tcPr>
            <w:tcW w:w="7146" w:type="dxa"/>
            <w:gridSpan w:val="5"/>
          </w:tcPr>
          <w:p w:rsidR="000A70C2" w:rsidRPr="00C34DE2" w:rsidRDefault="000A70C2" w:rsidP="000A70C2">
            <w:pPr>
              <w:pStyle w:val="TableBlock"/>
              <w:keepLines w:val="0"/>
            </w:pPr>
            <w:r w:rsidRPr="004E034A">
              <w:rPr>
                <w:rtl/>
              </w:rPr>
              <w:t>המרשם יהיה חסוי ולא יימסר אלא לפי הוראות חוק זה</w:t>
            </w:r>
            <w:r>
              <w:rPr>
                <w:rFonts w:hint="cs"/>
                <w:rtl/>
              </w:rPr>
              <w:t xml:space="preserve">; </w:t>
            </w:r>
            <w:r w:rsidRPr="00BB5729">
              <w:rPr>
                <w:rFonts w:ascii="David" w:hAnsi="David"/>
                <w:rtl/>
              </w:rPr>
              <w:t>אדם שהגיע לידיו, במהלך מילוי תפקידיו, מידע מן המרשם, לא יגלה אותו לאחר ולא יעשה בו כל שימוש, אלא לפי חוק זה ולצורך מילוי תפקידיו</w:t>
            </w:r>
            <w:r w:rsidRPr="004E034A">
              <w:rPr>
                <w:rtl/>
              </w:rPr>
              <w:t>.</w:t>
            </w:r>
          </w:p>
        </w:tc>
      </w:tr>
      <w:tr w:rsidR="000A70C2">
        <w:trPr>
          <w:cantSplit/>
          <w:trHeight w:val="60"/>
        </w:trPr>
        <w:tc>
          <w:tcPr>
            <w:tcW w:w="1871" w:type="dxa"/>
          </w:tcPr>
          <w:p w:rsidR="000A70C2" w:rsidRDefault="000A70C2" w:rsidP="000A70C2">
            <w:pPr>
              <w:pStyle w:val="TableSideHeading"/>
              <w:keepLines w:val="0"/>
            </w:pPr>
            <w:bookmarkStart w:id="72" w:name="_Toc74773785"/>
            <w:bookmarkStart w:id="73" w:name="_Toc75433160"/>
            <w:r>
              <w:rPr>
                <w:rFonts w:hint="cs"/>
                <w:rtl/>
              </w:rPr>
              <w:t xml:space="preserve">מסירת מידע ממרשם התעבורה </w:t>
            </w:r>
            <w:proofErr w:type="spellStart"/>
            <w:r>
              <w:rPr>
                <w:rFonts w:hint="cs"/>
                <w:rtl/>
              </w:rPr>
              <w:t>המינהלי</w:t>
            </w:r>
            <w:bookmarkEnd w:id="72"/>
            <w:bookmarkEnd w:id="73"/>
            <w:proofErr w:type="spellEnd"/>
          </w:p>
        </w:tc>
        <w:tc>
          <w:tcPr>
            <w:tcW w:w="624" w:type="dxa"/>
          </w:tcPr>
          <w:p w:rsidR="000A70C2" w:rsidRDefault="000A70C2" w:rsidP="00AB3999">
            <w:pPr>
              <w:pStyle w:val="TableText"/>
              <w:keepLines w:val="0"/>
              <w:numPr>
                <w:ilvl w:val="0"/>
                <w:numId w:val="3"/>
              </w:numPr>
            </w:pPr>
          </w:p>
        </w:tc>
        <w:tc>
          <w:tcPr>
            <w:tcW w:w="7146" w:type="dxa"/>
            <w:gridSpan w:val="5"/>
          </w:tcPr>
          <w:p w:rsidR="000A70C2" w:rsidRPr="00C34DE2" w:rsidRDefault="000A70C2" w:rsidP="00C965C0">
            <w:pPr>
              <w:pStyle w:val="TableBlock"/>
              <w:numPr>
                <w:ilvl w:val="0"/>
                <w:numId w:val="33"/>
              </w:numPr>
              <w:tabs>
                <w:tab w:val="left" w:pos="624"/>
              </w:tabs>
            </w:pPr>
            <w:r w:rsidRPr="004E034A">
              <w:rPr>
                <w:rFonts w:hint="cs"/>
                <w:rtl/>
              </w:rPr>
              <w:t xml:space="preserve">משטרת ישראל תמסור מידע ממרשם התעבורה </w:t>
            </w:r>
            <w:proofErr w:type="spellStart"/>
            <w:r w:rsidRPr="004E034A">
              <w:rPr>
                <w:rFonts w:hint="cs"/>
                <w:rtl/>
              </w:rPr>
              <w:t>המינהלי</w:t>
            </w:r>
            <w:proofErr w:type="spellEnd"/>
            <w:r w:rsidRPr="004E034A">
              <w:rPr>
                <w:rFonts w:hint="cs"/>
                <w:rtl/>
              </w:rPr>
              <w:t xml:space="preserve"> לרשויות ולבעלי התפקידים המפורטים </w:t>
            </w:r>
            <w:r w:rsidRPr="004E034A">
              <w:rPr>
                <w:rFonts w:hint="eastAsia"/>
                <w:rtl/>
              </w:rPr>
              <w:t>בתוספת</w:t>
            </w:r>
            <w:r w:rsidRPr="004E034A">
              <w:rPr>
                <w:rtl/>
              </w:rPr>
              <w:t xml:space="preserve"> </w:t>
            </w:r>
            <w:r>
              <w:rPr>
                <w:rFonts w:hint="cs"/>
                <w:rtl/>
              </w:rPr>
              <w:t>הרביעית,</w:t>
            </w:r>
            <w:r w:rsidR="00C965C0">
              <w:rPr>
                <w:rFonts w:hint="cs"/>
                <w:rtl/>
              </w:rPr>
              <w:t xml:space="preserve"> בנסיבות המפורטת שם, ככל שנקבעו</w:t>
            </w:r>
            <w:r w:rsidR="0054394A">
              <w:rPr>
                <w:rFonts w:hint="cs"/>
                <w:rtl/>
              </w:rPr>
              <w:t>, ובמידה הנדרשת</w:t>
            </w:r>
            <w:r w:rsidRPr="004E034A">
              <w:rPr>
                <w:rFonts w:hint="cs"/>
                <w:rtl/>
              </w:rPr>
              <w:t>.</w:t>
            </w:r>
          </w:p>
        </w:tc>
      </w:tr>
      <w:tr w:rsidR="000A70C2">
        <w:trPr>
          <w:cantSplit/>
          <w:trHeight w:val="60"/>
        </w:trPr>
        <w:tc>
          <w:tcPr>
            <w:tcW w:w="1871" w:type="dxa"/>
          </w:tcPr>
          <w:p w:rsidR="000A70C2" w:rsidRDefault="000A70C2" w:rsidP="000A70C2">
            <w:pPr>
              <w:pStyle w:val="TableSideHeading"/>
              <w:keepLines w:val="0"/>
              <w:rPr>
                <w:rtl/>
              </w:rPr>
            </w:pPr>
          </w:p>
        </w:tc>
        <w:tc>
          <w:tcPr>
            <w:tcW w:w="624" w:type="dxa"/>
          </w:tcPr>
          <w:p w:rsidR="000A70C2" w:rsidRDefault="000A70C2" w:rsidP="000A70C2">
            <w:pPr>
              <w:pStyle w:val="TableText"/>
            </w:pPr>
          </w:p>
        </w:tc>
        <w:tc>
          <w:tcPr>
            <w:tcW w:w="7146" w:type="dxa"/>
            <w:gridSpan w:val="5"/>
          </w:tcPr>
          <w:p w:rsidR="000A70C2" w:rsidRPr="004E034A" w:rsidRDefault="000A70C2" w:rsidP="00AB3999">
            <w:pPr>
              <w:pStyle w:val="TableBlock"/>
              <w:numPr>
                <w:ilvl w:val="0"/>
                <w:numId w:val="33"/>
              </w:numPr>
              <w:tabs>
                <w:tab w:val="left" w:pos="624"/>
              </w:tabs>
              <w:rPr>
                <w:rtl/>
              </w:rPr>
            </w:pPr>
            <w:r w:rsidRPr="004E034A">
              <w:rPr>
                <w:rtl/>
              </w:rPr>
              <w:t xml:space="preserve">מסירת המידע תהיה </w:t>
            </w:r>
            <w:r w:rsidRPr="004E034A">
              <w:rPr>
                <w:rFonts w:hint="cs"/>
                <w:rtl/>
              </w:rPr>
              <w:t>ל</w:t>
            </w:r>
            <w:r w:rsidRPr="004E034A">
              <w:rPr>
                <w:rtl/>
              </w:rPr>
              <w:t>גופים הזכאים לקבלו</w:t>
            </w:r>
            <w:r w:rsidRPr="004E034A">
              <w:rPr>
                <w:rFonts w:hint="cs"/>
                <w:rtl/>
              </w:rPr>
              <w:t>,</w:t>
            </w:r>
            <w:r w:rsidRPr="004E034A">
              <w:rPr>
                <w:rtl/>
              </w:rPr>
              <w:t xml:space="preserve"> לצורך מילוי תפקידי</w:t>
            </w:r>
            <w:r w:rsidRPr="004E034A">
              <w:rPr>
                <w:rFonts w:hint="cs"/>
                <w:rtl/>
              </w:rPr>
              <w:t xml:space="preserve">הם </w:t>
            </w:r>
            <w:r w:rsidRPr="004E034A">
              <w:rPr>
                <w:rFonts w:hint="eastAsia"/>
                <w:rtl/>
              </w:rPr>
              <w:t>על</w:t>
            </w:r>
            <w:r w:rsidRPr="004E034A">
              <w:rPr>
                <w:rtl/>
              </w:rPr>
              <w:t xml:space="preserve"> </w:t>
            </w:r>
            <w:r w:rsidRPr="004E034A">
              <w:rPr>
                <w:rFonts w:hint="eastAsia"/>
                <w:rtl/>
              </w:rPr>
              <w:t>פי</w:t>
            </w:r>
            <w:r w:rsidRPr="004E034A">
              <w:rPr>
                <w:rtl/>
              </w:rPr>
              <w:t xml:space="preserve"> </w:t>
            </w:r>
            <w:r w:rsidRPr="004E034A">
              <w:rPr>
                <w:rFonts w:hint="eastAsia"/>
                <w:rtl/>
              </w:rPr>
              <w:t>דין</w:t>
            </w:r>
            <w:r w:rsidRPr="004E034A">
              <w:rPr>
                <w:rFonts w:hint="cs"/>
                <w:rtl/>
              </w:rPr>
              <w:t xml:space="preserve"> ולפי כללים שיקבע שר המשפטים.</w:t>
            </w:r>
          </w:p>
        </w:tc>
      </w:tr>
      <w:tr w:rsidR="000A70C2">
        <w:trPr>
          <w:cantSplit/>
          <w:trHeight w:val="60"/>
        </w:trPr>
        <w:tc>
          <w:tcPr>
            <w:tcW w:w="1871" w:type="dxa"/>
          </w:tcPr>
          <w:p w:rsidR="000A70C2" w:rsidRDefault="000A70C2" w:rsidP="000A70C2">
            <w:pPr>
              <w:pStyle w:val="TableSideHeading"/>
              <w:keepLines w:val="0"/>
              <w:rPr>
                <w:rtl/>
              </w:rPr>
            </w:pPr>
          </w:p>
        </w:tc>
        <w:tc>
          <w:tcPr>
            <w:tcW w:w="624" w:type="dxa"/>
          </w:tcPr>
          <w:p w:rsidR="000A70C2" w:rsidRDefault="000A70C2" w:rsidP="000A70C2">
            <w:pPr>
              <w:pStyle w:val="TableText"/>
            </w:pPr>
          </w:p>
        </w:tc>
        <w:tc>
          <w:tcPr>
            <w:tcW w:w="7146" w:type="dxa"/>
            <w:gridSpan w:val="5"/>
          </w:tcPr>
          <w:p w:rsidR="000A70C2" w:rsidRPr="004E034A" w:rsidRDefault="000A70C2" w:rsidP="00AB3999">
            <w:pPr>
              <w:pStyle w:val="TableBlock"/>
              <w:numPr>
                <w:ilvl w:val="0"/>
                <w:numId w:val="33"/>
              </w:numPr>
              <w:tabs>
                <w:tab w:val="left" w:pos="624"/>
              </w:tabs>
              <w:rPr>
                <w:rtl/>
              </w:rPr>
            </w:pPr>
            <w:r w:rsidRPr="004E034A">
              <w:rPr>
                <w:rFonts w:hint="cs"/>
                <w:rtl/>
              </w:rPr>
              <w:t xml:space="preserve">שר המשפטים רשאי לעדכן את </w:t>
            </w:r>
            <w:r w:rsidRPr="004E034A">
              <w:rPr>
                <w:rFonts w:hint="eastAsia"/>
                <w:rtl/>
              </w:rPr>
              <w:t>התוספת</w:t>
            </w:r>
            <w:r w:rsidRPr="004E034A">
              <w:rPr>
                <w:rtl/>
              </w:rPr>
              <w:t xml:space="preserve"> </w:t>
            </w:r>
            <w:r>
              <w:rPr>
                <w:rFonts w:hint="cs"/>
                <w:rtl/>
              </w:rPr>
              <w:t>הרביעית</w:t>
            </w:r>
            <w:r w:rsidRPr="004E034A">
              <w:rPr>
                <w:rFonts w:hint="cs"/>
                <w:rtl/>
              </w:rPr>
              <w:t xml:space="preserve"> בהסכמת השר הממונה על הגוף הנדון ובאישור ועדת הכלכלה של הכנסת.</w:t>
            </w:r>
          </w:p>
        </w:tc>
      </w:tr>
      <w:tr w:rsidR="000A70C2">
        <w:trPr>
          <w:cantSplit/>
          <w:trHeight w:val="60"/>
        </w:trPr>
        <w:tc>
          <w:tcPr>
            <w:tcW w:w="1871" w:type="dxa"/>
          </w:tcPr>
          <w:p w:rsidR="000A70C2" w:rsidRDefault="000A70C2" w:rsidP="000A70C2">
            <w:pPr>
              <w:pStyle w:val="TableSideHeading"/>
              <w:keepLines w:val="0"/>
            </w:pPr>
            <w:bookmarkStart w:id="74" w:name="_Toc74773786"/>
            <w:bookmarkStart w:id="75" w:name="_Toc75433161"/>
            <w:r>
              <w:rPr>
                <w:rFonts w:hint="cs"/>
                <w:rtl/>
              </w:rPr>
              <w:t xml:space="preserve">עיון במרשם התעבורה </w:t>
            </w:r>
            <w:proofErr w:type="spellStart"/>
            <w:r>
              <w:rPr>
                <w:rFonts w:hint="cs"/>
                <w:rtl/>
              </w:rPr>
              <w:t>המינהלי</w:t>
            </w:r>
            <w:bookmarkEnd w:id="74"/>
            <w:bookmarkEnd w:id="75"/>
            <w:proofErr w:type="spellEnd"/>
          </w:p>
        </w:tc>
        <w:tc>
          <w:tcPr>
            <w:tcW w:w="624" w:type="dxa"/>
          </w:tcPr>
          <w:p w:rsidR="000A70C2" w:rsidRDefault="000A70C2" w:rsidP="00AB3999">
            <w:pPr>
              <w:pStyle w:val="TableText"/>
              <w:keepLines w:val="0"/>
              <w:numPr>
                <w:ilvl w:val="0"/>
                <w:numId w:val="3"/>
              </w:numPr>
            </w:pPr>
          </w:p>
        </w:tc>
        <w:tc>
          <w:tcPr>
            <w:tcW w:w="7146" w:type="dxa"/>
            <w:gridSpan w:val="5"/>
          </w:tcPr>
          <w:p w:rsidR="000A70C2" w:rsidRPr="00C34DE2" w:rsidRDefault="000A70C2" w:rsidP="000A70C2">
            <w:pPr>
              <w:pStyle w:val="TableBlock"/>
              <w:keepLines w:val="0"/>
            </w:pPr>
            <w:r>
              <w:rPr>
                <w:rFonts w:hint="cs"/>
                <w:rtl/>
              </w:rPr>
              <w:t xml:space="preserve">כל אדם רשאי לעיין במידע שבמרשם התעבורה </w:t>
            </w:r>
            <w:proofErr w:type="spellStart"/>
            <w:r>
              <w:rPr>
                <w:rFonts w:hint="cs"/>
                <w:rtl/>
              </w:rPr>
              <w:t>המינהלי</w:t>
            </w:r>
            <w:proofErr w:type="spellEnd"/>
            <w:r>
              <w:rPr>
                <w:rFonts w:hint="cs"/>
                <w:rtl/>
              </w:rPr>
              <w:t xml:space="preserve"> הנוגע לו.</w:t>
            </w:r>
          </w:p>
        </w:tc>
      </w:tr>
      <w:tr w:rsidR="000A70C2">
        <w:trPr>
          <w:cantSplit/>
          <w:trHeight w:val="60"/>
        </w:trPr>
        <w:tc>
          <w:tcPr>
            <w:tcW w:w="1871" w:type="dxa"/>
          </w:tcPr>
          <w:p w:rsidR="000A70C2" w:rsidRDefault="0054394A" w:rsidP="000A70C2">
            <w:pPr>
              <w:pStyle w:val="TableSideHeading"/>
              <w:keepLines w:val="0"/>
            </w:pPr>
            <w:bookmarkStart w:id="76" w:name="_Toc74773787"/>
            <w:bookmarkStart w:id="77" w:name="_Toc75433162"/>
            <w:r>
              <w:rPr>
                <w:rFonts w:hint="cs"/>
                <w:rtl/>
              </w:rPr>
              <w:t>מחיקת</w:t>
            </w:r>
            <w:r w:rsidR="000A70C2">
              <w:rPr>
                <w:rFonts w:hint="cs"/>
                <w:rtl/>
              </w:rPr>
              <w:t xml:space="preserve"> פרט רישום</w:t>
            </w:r>
            <w:bookmarkEnd w:id="76"/>
            <w:bookmarkEnd w:id="77"/>
          </w:p>
        </w:tc>
        <w:tc>
          <w:tcPr>
            <w:tcW w:w="624" w:type="dxa"/>
          </w:tcPr>
          <w:p w:rsidR="000A70C2" w:rsidRDefault="000A70C2" w:rsidP="00AB3999">
            <w:pPr>
              <w:pStyle w:val="TableText"/>
              <w:keepLines w:val="0"/>
              <w:numPr>
                <w:ilvl w:val="0"/>
                <w:numId w:val="3"/>
              </w:numPr>
            </w:pPr>
          </w:p>
        </w:tc>
        <w:tc>
          <w:tcPr>
            <w:tcW w:w="7146" w:type="dxa"/>
            <w:gridSpan w:val="5"/>
          </w:tcPr>
          <w:p w:rsidR="000A70C2" w:rsidRPr="00C34DE2" w:rsidRDefault="000A70C2" w:rsidP="0054394A">
            <w:pPr>
              <w:pStyle w:val="TableBlock"/>
              <w:numPr>
                <w:ilvl w:val="0"/>
                <w:numId w:val="34"/>
              </w:numPr>
              <w:tabs>
                <w:tab w:val="left" w:pos="624"/>
              </w:tabs>
            </w:pPr>
            <w:r>
              <w:rPr>
                <w:rFonts w:hint="cs"/>
                <w:rtl/>
              </w:rPr>
              <w:t xml:space="preserve">המשטרה </w:t>
            </w:r>
            <w:r w:rsidR="0054394A">
              <w:rPr>
                <w:rFonts w:hint="cs"/>
                <w:rtl/>
              </w:rPr>
              <w:t>תמחק</w:t>
            </w:r>
            <w:r>
              <w:rPr>
                <w:rFonts w:hint="cs"/>
                <w:rtl/>
              </w:rPr>
              <w:t xml:space="preserve"> </w:t>
            </w:r>
            <w:r w:rsidR="0054394A">
              <w:rPr>
                <w:rFonts w:hint="cs"/>
                <w:rtl/>
              </w:rPr>
              <w:t xml:space="preserve">פרט רישום ממרשם התעבורה </w:t>
            </w:r>
            <w:proofErr w:type="spellStart"/>
            <w:r w:rsidR="0054394A">
              <w:rPr>
                <w:rFonts w:hint="cs"/>
                <w:rtl/>
              </w:rPr>
              <w:t>המינהלי</w:t>
            </w:r>
            <w:proofErr w:type="spellEnd"/>
            <w:r w:rsidR="00C965C0">
              <w:rPr>
                <w:rFonts w:hint="cs"/>
                <w:rtl/>
              </w:rPr>
              <w:t xml:space="preserve"> </w:t>
            </w:r>
            <w:r>
              <w:rPr>
                <w:rFonts w:hint="cs"/>
                <w:rtl/>
              </w:rPr>
              <w:t xml:space="preserve">בתום </w:t>
            </w:r>
            <w:r>
              <w:rPr>
                <w:rtl/>
              </w:rPr>
              <w:t>–</w:t>
            </w:r>
          </w:p>
        </w:tc>
      </w:tr>
      <w:tr w:rsidR="000A70C2">
        <w:trPr>
          <w:cantSplit/>
          <w:trHeight w:val="60"/>
        </w:trPr>
        <w:tc>
          <w:tcPr>
            <w:tcW w:w="1871" w:type="dxa"/>
          </w:tcPr>
          <w:p w:rsidR="000A70C2" w:rsidRDefault="000A70C2">
            <w:pPr>
              <w:pStyle w:val="TableSideHeading"/>
            </w:pPr>
          </w:p>
        </w:tc>
        <w:tc>
          <w:tcPr>
            <w:tcW w:w="624" w:type="dxa"/>
          </w:tcPr>
          <w:p w:rsidR="000A70C2" w:rsidRDefault="000A70C2">
            <w:pPr>
              <w:pStyle w:val="TableText"/>
            </w:pPr>
          </w:p>
        </w:tc>
        <w:tc>
          <w:tcPr>
            <w:tcW w:w="624" w:type="dxa"/>
          </w:tcPr>
          <w:p w:rsidR="000A70C2" w:rsidRDefault="000A70C2">
            <w:pPr>
              <w:pStyle w:val="TableText"/>
            </w:pPr>
          </w:p>
        </w:tc>
        <w:tc>
          <w:tcPr>
            <w:tcW w:w="6522" w:type="dxa"/>
            <w:gridSpan w:val="4"/>
          </w:tcPr>
          <w:p w:rsidR="000A70C2" w:rsidRDefault="000A70C2" w:rsidP="00AB3999">
            <w:pPr>
              <w:pStyle w:val="TableBlock"/>
              <w:numPr>
                <w:ilvl w:val="0"/>
                <w:numId w:val="35"/>
              </w:numPr>
              <w:tabs>
                <w:tab w:val="left" w:pos="624"/>
              </w:tabs>
            </w:pPr>
            <w:r>
              <w:rPr>
                <w:rFonts w:hint="cs"/>
                <w:rtl/>
              </w:rPr>
              <w:t>10 שנים לגבי בגירים;</w:t>
            </w:r>
          </w:p>
        </w:tc>
      </w:tr>
      <w:tr w:rsidR="000A70C2">
        <w:trPr>
          <w:cantSplit/>
          <w:trHeight w:val="60"/>
        </w:trPr>
        <w:tc>
          <w:tcPr>
            <w:tcW w:w="1871" w:type="dxa"/>
          </w:tcPr>
          <w:p w:rsidR="000A70C2" w:rsidRDefault="000A70C2">
            <w:pPr>
              <w:pStyle w:val="TableSideHeading"/>
            </w:pPr>
          </w:p>
        </w:tc>
        <w:tc>
          <w:tcPr>
            <w:tcW w:w="624" w:type="dxa"/>
          </w:tcPr>
          <w:p w:rsidR="000A70C2" w:rsidRDefault="000A70C2" w:rsidP="000A70C2">
            <w:pPr>
              <w:pStyle w:val="TableText"/>
            </w:pPr>
          </w:p>
        </w:tc>
        <w:tc>
          <w:tcPr>
            <w:tcW w:w="624" w:type="dxa"/>
          </w:tcPr>
          <w:p w:rsidR="000A70C2" w:rsidRDefault="000A70C2">
            <w:pPr>
              <w:pStyle w:val="TableText"/>
            </w:pPr>
          </w:p>
        </w:tc>
        <w:tc>
          <w:tcPr>
            <w:tcW w:w="6522" w:type="dxa"/>
            <w:gridSpan w:val="4"/>
          </w:tcPr>
          <w:p w:rsidR="000A70C2" w:rsidRPr="0054394A" w:rsidRDefault="000A70C2" w:rsidP="0054394A">
            <w:pPr>
              <w:pStyle w:val="TableBlock"/>
              <w:numPr>
                <w:ilvl w:val="0"/>
                <w:numId w:val="35"/>
              </w:numPr>
              <w:tabs>
                <w:tab w:val="left" w:pos="624"/>
              </w:tabs>
            </w:pPr>
            <w:r w:rsidRPr="0054394A">
              <w:rPr>
                <w:rFonts w:hint="cs"/>
                <w:rtl/>
              </w:rPr>
              <w:t>6 שנים לגבי קטינים.</w:t>
            </w:r>
          </w:p>
        </w:tc>
      </w:tr>
      <w:tr w:rsidR="000A70C2">
        <w:trPr>
          <w:cantSplit/>
          <w:trHeight w:val="60"/>
        </w:trPr>
        <w:tc>
          <w:tcPr>
            <w:tcW w:w="1871" w:type="dxa"/>
          </w:tcPr>
          <w:p w:rsidR="000A70C2" w:rsidRDefault="000A70C2">
            <w:pPr>
              <w:pStyle w:val="TableSideHeading"/>
            </w:pPr>
          </w:p>
        </w:tc>
        <w:tc>
          <w:tcPr>
            <w:tcW w:w="624" w:type="dxa"/>
          </w:tcPr>
          <w:p w:rsidR="000A70C2" w:rsidRDefault="000A70C2">
            <w:pPr>
              <w:pStyle w:val="TableText"/>
            </w:pPr>
          </w:p>
        </w:tc>
        <w:tc>
          <w:tcPr>
            <w:tcW w:w="7146" w:type="dxa"/>
            <w:gridSpan w:val="5"/>
          </w:tcPr>
          <w:p w:rsidR="000A70C2" w:rsidRPr="00C34DE2" w:rsidRDefault="0054394A" w:rsidP="00C965C0">
            <w:pPr>
              <w:pStyle w:val="TableBlock"/>
              <w:numPr>
                <w:ilvl w:val="0"/>
                <w:numId w:val="34"/>
              </w:numPr>
              <w:tabs>
                <w:tab w:val="left" w:pos="624"/>
              </w:tabs>
            </w:pPr>
            <w:r>
              <w:rPr>
                <w:rFonts w:hint="cs"/>
                <w:rtl/>
              </w:rPr>
              <w:t xml:space="preserve">תקופת המחיקה תמנה </w:t>
            </w:r>
            <w:r w:rsidR="000A70C2">
              <w:rPr>
                <w:rFonts w:hint="cs"/>
                <w:rtl/>
              </w:rPr>
              <w:t>מיום ההמצאה, אף אם הוגש ערר על ההחלטה לבית דין לתעבורה.</w:t>
            </w:r>
          </w:p>
        </w:tc>
      </w:tr>
      <w:tr w:rsidR="000A70C2">
        <w:trPr>
          <w:cantSplit/>
          <w:trHeight w:val="60"/>
        </w:trPr>
        <w:tc>
          <w:tcPr>
            <w:tcW w:w="1871" w:type="dxa"/>
          </w:tcPr>
          <w:p w:rsidR="000A70C2" w:rsidRDefault="000A70C2">
            <w:pPr>
              <w:pStyle w:val="TableSideHeading"/>
            </w:pPr>
          </w:p>
        </w:tc>
        <w:tc>
          <w:tcPr>
            <w:tcW w:w="624" w:type="dxa"/>
          </w:tcPr>
          <w:p w:rsidR="000A70C2" w:rsidRDefault="000A70C2" w:rsidP="000A70C2">
            <w:pPr>
              <w:pStyle w:val="TableText"/>
            </w:pPr>
          </w:p>
        </w:tc>
        <w:tc>
          <w:tcPr>
            <w:tcW w:w="7146" w:type="dxa"/>
            <w:gridSpan w:val="5"/>
          </w:tcPr>
          <w:p w:rsidR="000A70C2" w:rsidRPr="0054394A" w:rsidRDefault="000A70C2" w:rsidP="005B4A40">
            <w:pPr>
              <w:pStyle w:val="TableBlock"/>
              <w:numPr>
                <w:ilvl w:val="0"/>
                <w:numId w:val="34"/>
              </w:numPr>
              <w:tabs>
                <w:tab w:val="left" w:pos="624"/>
              </w:tabs>
              <w:rPr>
                <w:rtl/>
              </w:rPr>
            </w:pPr>
            <w:r w:rsidRPr="0054394A">
              <w:rPr>
                <w:rFonts w:hint="cs"/>
                <w:rtl/>
              </w:rPr>
              <w:t xml:space="preserve">לא יימחק פרט רישום של אדם עד שיישלם את מלוא </w:t>
            </w:r>
            <w:r w:rsidR="005B4A40" w:rsidRPr="0054394A">
              <w:rPr>
                <w:rFonts w:hint="cs"/>
                <w:rtl/>
              </w:rPr>
              <w:t>קנס ההפרה</w:t>
            </w:r>
            <w:r w:rsidRPr="0054394A">
              <w:rPr>
                <w:rFonts w:hint="cs"/>
                <w:rtl/>
              </w:rPr>
              <w:t xml:space="preserve"> שהוטל עליו.</w:t>
            </w:r>
          </w:p>
        </w:tc>
      </w:tr>
      <w:tr w:rsidR="0054394A">
        <w:trPr>
          <w:cantSplit/>
          <w:trHeight w:val="60"/>
        </w:trPr>
        <w:tc>
          <w:tcPr>
            <w:tcW w:w="1871" w:type="dxa"/>
          </w:tcPr>
          <w:p w:rsidR="0054394A" w:rsidRDefault="0054394A">
            <w:pPr>
              <w:pStyle w:val="TableSideHeading"/>
            </w:pPr>
          </w:p>
        </w:tc>
        <w:tc>
          <w:tcPr>
            <w:tcW w:w="624" w:type="dxa"/>
          </w:tcPr>
          <w:p w:rsidR="0054394A" w:rsidRDefault="0054394A" w:rsidP="0054394A">
            <w:pPr>
              <w:pStyle w:val="TableText"/>
            </w:pPr>
          </w:p>
        </w:tc>
        <w:tc>
          <w:tcPr>
            <w:tcW w:w="7146" w:type="dxa"/>
            <w:gridSpan w:val="5"/>
          </w:tcPr>
          <w:p w:rsidR="0054394A" w:rsidRPr="0054394A" w:rsidRDefault="0054394A" w:rsidP="005B4A40">
            <w:pPr>
              <w:pStyle w:val="TableBlock"/>
              <w:numPr>
                <w:ilvl w:val="0"/>
                <w:numId w:val="34"/>
              </w:numPr>
              <w:tabs>
                <w:tab w:val="left" w:pos="624"/>
              </w:tabs>
              <w:rPr>
                <w:rtl/>
              </w:rPr>
            </w:pPr>
            <w:r>
              <w:rPr>
                <w:rFonts w:hint="cs"/>
                <w:rtl/>
              </w:rPr>
              <w:t xml:space="preserve">לא </w:t>
            </w:r>
            <w:r w:rsidRPr="00347DAE">
              <w:rPr>
                <w:rtl/>
              </w:rPr>
              <w:t xml:space="preserve">יימסר מידע על פרט רישום </w:t>
            </w:r>
            <w:r>
              <w:rPr>
                <w:rFonts w:hint="cs"/>
                <w:rtl/>
              </w:rPr>
              <w:t>שנמחק ומידע על אודותיו לא יובא בחשבון לצורך קבלת החלטה בעניינו של אדם.</w:t>
            </w:r>
          </w:p>
        </w:tc>
      </w:tr>
      <w:tr w:rsidR="000A70C2">
        <w:trPr>
          <w:cantSplit/>
          <w:trHeight w:val="60"/>
        </w:trPr>
        <w:tc>
          <w:tcPr>
            <w:tcW w:w="1871" w:type="dxa"/>
          </w:tcPr>
          <w:p w:rsidR="000A70C2" w:rsidRDefault="000A70C2" w:rsidP="000A70C2">
            <w:pPr>
              <w:pStyle w:val="TableSideHeading"/>
              <w:keepLines w:val="0"/>
            </w:pPr>
            <w:bookmarkStart w:id="78" w:name="_Toc74773788"/>
            <w:bookmarkStart w:id="79" w:name="_Toc75433163"/>
            <w:r>
              <w:rPr>
                <w:rFonts w:hint="cs"/>
                <w:rtl/>
              </w:rPr>
              <w:t>שמירת דינים</w:t>
            </w:r>
            <w:bookmarkEnd w:id="78"/>
            <w:bookmarkEnd w:id="79"/>
          </w:p>
        </w:tc>
        <w:tc>
          <w:tcPr>
            <w:tcW w:w="624" w:type="dxa"/>
          </w:tcPr>
          <w:p w:rsidR="000A70C2" w:rsidRDefault="000A70C2" w:rsidP="00AB3999">
            <w:pPr>
              <w:pStyle w:val="TableText"/>
              <w:keepLines w:val="0"/>
              <w:numPr>
                <w:ilvl w:val="0"/>
                <w:numId w:val="3"/>
              </w:numPr>
            </w:pPr>
          </w:p>
        </w:tc>
        <w:tc>
          <w:tcPr>
            <w:tcW w:w="7146" w:type="dxa"/>
            <w:gridSpan w:val="5"/>
          </w:tcPr>
          <w:p w:rsidR="000A70C2" w:rsidRPr="00C34DE2" w:rsidRDefault="000A70C2" w:rsidP="000A70C2">
            <w:pPr>
              <w:pStyle w:val="TableBlock"/>
              <w:keepLines w:val="0"/>
            </w:pPr>
            <w:r>
              <w:rPr>
                <w:rFonts w:hint="cs"/>
                <w:rtl/>
              </w:rPr>
              <w:t>אין בהוראות פרק זה כדי לגרוע מהוראות חוק המרשם הפלילי או מכל מרשם אחר שהוקם בחוק אחר.</w:t>
            </w:r>
          </w:p>
        </w:tc>
      </w:tr>
      <w:tr w:rsidR="000A70C2">
        <w:trPr>
          <w:cantSplit/>
          <w:trHeight w:val="60"/>
        </w:trPr>
        <w:tc>
          <w:tcPr>
            <w:tcW w:w="1871" w:type="dxa"/>
          </w:tcPr>
          <w:p w:rsidR="000A70C2" w:rsidRDefault="000A70C2">
            <w:pPr>
              <w:pStyle w:val="TableSideHeading"/>
            </w:pPr>
          </w:p>
        </w:tc>
        <w:tc>
          <w:tcPr>
            <w:tcW w:w="624" w:type="dxa"/>
          </w:tcPr>
          <w:p w:rsidR="000A70C2" w:rsidRDefault="000A70C2">
            <w:pPr>
              <w:pStyle w:val="TableText"/>
            </w:pPr>
          </w:p>
        </w:tc>
        <w:tc>
          <w:tcPr>
            <w:tcW w:w="7146" w:type="dxa"/>
            <w:gridSpan w:val="5"/>
          </w:tcPr>
          <w:p w:rsidR="000A70C2" w:rsidRPr="00C34DE2" w:rsidRDefault="000A70C2">
            <w:pPr>
              <w:pStyle w:val="TableHead"/>
            </w:pPr>
            <w:bookmarkStart w:id="80" w:name="_Toc74773789"/>
            <w:bookmarkStart w:id="81" w:name="_Toc75433164"/>
            <w:r>
              <w:rPr>
                <w:rFonts w:hint="cs"/>
                <w:rtl/>
              </w:rPr>
              <w:t>פרק ה': הוראות נוספות</w:t>
            </w:r>
            <w:bookmarkEnd w:id="80"/>
            <w:bookmarkEnd w:id="81"/>
          </w:p>
        </w:tc>
      </w:tr>
      <w:tr w:rsidR="000A70C2">
        <w:trPr>
          <w:cantSplit/>
          <w:trHeight w:val="60"/>
        </w:trPr>
        <w:tc>
          <w:tcPr>
            <w:tcW w:w="1871" w:type="dxa"/>
          </w:tcPr>
          <w:p w:rsidR="000A70C2" w:rsidRDefault="000A70C2" w:rsidP="000A70C2">
            <w:pPr>
              <w:pStyle w:val="TableSideHeading"/>
              <w:keepLines w:val="0"/>
            </w:pPr>
            <w:bookmarkStart w:id="82" w:name="_Toc74773790"/>
            <w:bookmarkStart w:id="83" w:name="_Toc75433165"/>
            <w:r>
              <w:rPr>
                <w:rFonts w:hint="cs"/>
                <w:rtl/>
              </w:rPr>
              <w:t>התיישנות</w:t>
            </w:r>
            <w:bookmarkEnd w:id="82"/>
            <w:bookmarkEnd w:id="83"/>
          </w:p>
        </w:tc>
        <w:tc>
          <w:tcPr>
            <w:tcW w:w="624" w:type="dxa"/>
          </w:tcPr>
          <w:p w:rsidR="000A70C2" w:rsidRDefault="000A70C2" w:rsidP="00AB3999">
            <w:pPr>
              <w:pStyle w:val="TableText"/>
              <w:keepLines w:val="0"/>
              <w:numPr>
                <w:ilvl w:val="0"/>
                <w:numId w:val="3"/>
              </w:numPr>
            </w:pPr>
          </w:p>
        </w:tc>
        <w:tc>
          <w:tcPr>
            <w:tcW w:w="7146" w:type="dxa"/>
            <w:gridSpan w:val="5"/>
          </w:tcPr>
          <w:p w:rsidR="000A70C2" w:rsidRPr="0014448A" w:rsidRDefault="000A70C2" w:rsidP="00AB3999">
            <w:pPr>
              <w:pStyle w:val="TableBlock"/>
              <w:numPr>
                <w:ilvl w:val="0"/>
                <w:numId w:val="36"/>
              </w:numPr>
              <w:tabs>
                <w:tab w:val="left" w:pos="624"/>
              </w:tabs>
            </w:pPr>
            <w:r w:rsidRPr="0014448A">
              <w:rPr>
                <w:rFonts w:hint="cs"/>
                <w:rtl/>
              </w:rPr>
              <w:t xml:space="preserve">לא </w:t>
            </w:r>
            <w:r w:rsidRPr="0014448A">
              <w:rPr>
                <w:rFonts w:hint="eastAsia"/>
                <w:rtl/>
              </w:rPr>
              <w:t>תומצא</w:t>
            </w:r>
            <w:r w:rsidRPr="0014448A">
              <w:rPr>
                <w:rFonts w:hint="cs"/>
                <w:rtl/>
              </w:rPr>
              <w:t xml:space="preserve"> הודעת תשלום כאמור בסעיף 3 אם עברה שנה מיום ביצוע הפרת התעבורה, וטרם </w:t>
            </w:r>
            <w:r w:rsidRPr="0014448A">
              <w:rPr>
                <w:rFonts w:hint="eastAsia"/>
                <w:rtl/>
              </w:rPr>
              <w:t>נשלחה</w:t>
            </w:r>
            <w:r w:rsidRPr="0014448A">
              <w:rPr>
                <w:rFonts w:hint="cs"/>
                <w:rtl/>
              </w:rPr>
              <w:t xml:space="preserve"> הודעת תשלום; </w:t>
            </w:r>
            <w:r w:rsidRPr="0014448A">
              <w:rPr>
                <w:rtl/>
              </w:rPr>
              <w:t xml:space="preserve">ואולם, </w:t>
            </w:r>
            <w:r w:rsidRPr="0014448A">
              <w:rPr>
                <w:rFonts w:hint="cs"/>
                <w:rtl/>
              </w:rPr>
              <w:t>ככל ש</w:t>
            </w:r>
            <w:r w:rsidRPr="0014448A">
              <w:rPr>
                <w:rtl/>
              </w:rPr>
              <w:t xml:space="preserve">בעל הרכב הוכיח כי לא חלה עליו אחריות לעבירה לפי סעיף 27ב </w:t>
            </w:r>
            <w:r w:rsidRPr="0014448A">
              <w:rPr>
                <w:rFonts w:hint="cs"/>
                <w:rtl/>
              </w:rPr>
              <w:t>לפקודת התעבורה</w:t>
            </w:r>
            <w:r w:rsidRPr="0014448A">
              <w:rPr>
                <w:rtl/>
              </w:rPr>
              <w:t xml:space="preserve">, ניתן </w:t>
            </w:r>
            <w:r w:rsidRPr="0014448A">
              <w:rPr>
                <w:rFonts w:hint="eastAsia"/>
                <w:rtl/>
              </w:rPr>
              <w:t>להמציא</w:t>
            </w:r>
            <w:r w:rsidRPr="0014448A">
              <w:rPr>
                <w:rtl/>
              </w:rPr>
              <w:t xml:space="preserve"> </w:t>
            </w:r>
            <w:r w:rsidRPr="0014448A">
              <w:rPr>
                <w:rFonts w:hint="cs"/>
                <w:rtl/>
              </w:rPr>
              <w:t>הודעת תשלום</w:t>
            </w:r>
            <w:r w:rsidRPr="0014448A">
              <w:rPr>
                <w:rtl/>
              </w:rPr>
              <w:t xml:space="preserve">, למי שנהג ברכב אם לא עברו שנתיים מיום ביצוע </w:t>
            </w:r>
            <w:r w:rsidRPr="0014448A">
              <w:rPr>
                <w:rFonts w:hint="cs"/>
                <w:rtl/>
              </w:rPr>
              <w:t>הפרת התעבורה</w:t>
            </w:r>
            <w:r w:rsidRPr="0014448A">
              <w:rPr>
                <w:rtl/>
              </w:rPr>
              <w:t>.</w:t>
            </w:r>
          </w:p>
        </w:tc>
      </w:tr>
      <w:tr w:rsidR="003918F0">
        <w:trPr>
          <w:cantSplit/>
          <w:trHeight w:val="60"/>
        </w:trPr>
        <w:tc>
          <w:tcPr>
            <w:tcW w:w="1871" w:type="dxa"/>
          </w:tcPr>
          <w:p w:rsidR="003918F0" w:rsidRDefault="003918F0" w:rsidP="000A70C2">
            <w:pPr>
              <w:pStyle w:val="TableSideHeading"/>
              <w:keepLines w:val="0"/>
              <w:rPr>
                <w:rtl/>
              </w:rPr>
            </w:pPr>
          </w:p>
        </w:tc>
        <w:tc>
          <w:tcPr>
            <w:tcW w:w="624" w:type="dxa"/>
          </w:tcPr>
          <w:p w:rsidR="003918F0" w:rsidRDefault="003918F0" w:rsidP="003918F0">
            <w:pPr>
              <w:pStyle w:val="TableText"/>
            </w:pPr>
          </w:p>
        </w:tc>
        <w:tc>
          <w:tcPr>
            <w:tcW w:w="7146" w:type="dxa"/>
            <w:gridSpan w:val="5"/>
          </w:tcPr>
          <w:p w:rsidR="003918F0" w:rsidRPr="0092374B" w:rsidRDefault="003918F0" w:rsidP="00AB3999">
            <w:pPr>
              <w:pStyle w:val="TableBlock"/>
              <w:numPr>
                <w:ilvl w:val="0"/>
                <w:numId w:val="36"/>
              </w:numPr>
              <w:tabs>
                <w:tab w:val="left" w:pos="624"/>
              </w:tabs>
              <w:rPr>
                <w:rtl/>
              </w:rPr>
            </w:pPr>
            <w:r>
              <w:rPr>
                <w:rFonts w:hint="cs"/>
                <w:rtl/>
              </w:rPr>
              <w:t xml:space="preserve">הפרת </w:t>
            </w:r>
            <w:r w:rsidRPr="004B2FF2">
              <w:rPr>
                <w:rFonts w:hint="cs"/>
                <w:rtl/>
              </w:rPr>
              <w:t>תעבורה</w:t>
            </w:r>
            <w:r w:rsidRPr="004B2FF2">
              <w:rPr>
                <w:rtl/>
              </w:rPr>
              <w:t xml:space="preserve"> </w:t>
            </w:r>
            <w:r>
              <w:rPr>
                <w:rFonts w:hint="cs"/>
                <w:rtl/>
              </w:rPr>
              <w:t xml:space="preserve">שהחשד לביצועה מבוסס </w:t>
            </w:r>
            <w:r w:rsidRPr="00173841">
              <w:rPr>
                <w:rtl/>
              </w:rPr>
              <w:t xml:space="preserve">על צילום רכב כאמור </w:t>
            </w:r>
            <w:r w:rsidRPr="00173841">
              <w:rPr>
                <w:rFonts w:hint="cs"/>
                <w:rtl/>
              </w:rPr>
              <w:t>בסעי</w:t>
            </w:r>
            <w:r>
              <w:rPr>
                <w:rFonts w:hint="cs"/>
                <w:rtl/>
              </w:rPr>
              <w:t>פים</w:t>
            </w:r>
            <w:r w:rsidRPr="00173841">
              <w:rPr>
                <w:rtl/>
              </w:rPr>
              <w:t xml:space="preserve"> 27א </w:t>
            </w:r>
            <w:r>
              <w:rPr>
                <w:rFonts w:hint="cs"/>
                <w:rtl/>
              </w:rPr>
              <w:t xml:space="preserve">או 27א1 </w:t>
            </w:r>
            <w:r w:rsidRPr="00173841">
              <w:rPr>
                <w:rtl/>
              </w:rPr>
              <w:t>לפקוד</w:t>
            </w:r>
            <w:r w:rsidRPr="00173841">
              <w:rPr>
                <w:rFonts w:hint="cs"/>
                <w:rtl/>
              </w:rPr>
              <w:t>ת התעבורה</w:t>
            </w:r>
            <w:r w:rsidRPr="00173841">
              <w:rPr>
                <w:rtl/>
              </w:rPr>
              <w:t xml:space="preserve">, לא </w:t>
            </w:r>
            <w:r w:rsidRPr="00173841">
              <w:rPr>
                <w:rFonts w:hint="eastAsia"/>
                <w:rtl/>
              </w:rPr>
              <w:t>תומצא</w:t>
            </w:r>
            <w:r w:rsidRPr="00173841">
              <w:rPr>
                <w:rFonts w:hint="cs"/>
                <w:rtl/>
              </w:rPr>
              <w:t xml:space="preserve"> הודעת תשלום כאמור בסעיף 3 אם עברו ארבעה חודשים ממועד ביצוע הפרת התעבורה,</w:t>
            </w:r>
            <w:r w:rsidRPr="00173841">
              <w:rPr>
                <w:rtl/>
              </w:rPr>
              <w:t xml:space="preserve"> </w:t>
            </w:r>
            <w:r w:rsidRPr="002B7F70">
              <w:rPr>
                <w:rFonts w:hint="eastAsia"/>
                <w:rtl/>
              </w:rPr>
              <w:t>ו</w:t>
            </w:r>
            <w:r w:rsidRPr="004B2FF2">
              <w:rPr>
                <w:rtl/>
              </w:rPr>
              <w:t>טרם נשלח</w:t>
            </w:r>
            <w:r w:rsidRPr="004B2FF2">
              <w:rPr>
                <w:rFonts w:hint="eastAsia"/>
                <w:rtl/>
              </w:rPr>
              <w:t>ה</w:t>
            </w:r>
            <w:r w:rsidRPr="004B2FF2">
              <w:rPr>
                <w:rtl/>
              </w:rPr>
              <w:t xml:space="preserve"> </w:t>
            </w:r>
            <w:r w:rsidRPr="004B2FF2">
              <w:rPr>
                <w:rFonts w:hint="cs"/>
                <w:rtl/>
              </w:rPr>
              <w:t>הודעת תשלום</w:t>
            </w:r>
            <w:r>
              <w:rPr>
                <w:rFonts w:hint="cs"/>
                <w:rtl/>
              </w:rPr>
              <w:t>.</w:t>
            </w:r>
          </w:p>
        </w:tc>
      </w:tr>
      <w:tr w:rsidR="003918F0">
        <w:trPr>
          <w:cantSplit/>
          <w:trHeight w:val="60"/>
        </w:trPr>
        <w:tc>
          <w:tcPr>
            <w:tcW w:w="1871" w:type="dxa"/>
          </w:tcPr>
          <w:p w:rsidR="003918F0" w:rsidRDefault="003918F0" w:rsidP="000A70C2">
            <w:pPr>
              <w:pStyle w:val="TableSideHeading"/>
              <w:keepLines w:val="0"/>
              <w:rPr>
                <w:rtl/>
              </w:rPr>
            </w:pPr>
          </w:p>
        </w:tc>
        <w:tc>
          <w:tcPr>
            <w:tcW w:w="624" w:type="dxa"/>
          </w:tcPr>
          <w:p w:rsidR="003918F0" w:rsidRDefault="003918F0" w:rsidP="003918F0">
            <w:pPr>
              <w:pStyle w:val="TableText"/>
            </w:pPr>
          </w:p>
        </w:tc>
        <w:tc>
          <w:tcPr>
            <w:tcW w:w="7146" w:type="dxa"/>
            <w:gridSpan w:val="5"/>
          </w:tcPr>
          <w:p w:rsidR="003918F0" w:rsidRDefault="003918F0" w:rsidP="00AB3999">
            <w:pPr>
              <w:pStyle w:val="TableBlock"/>
              <w:numPr>
                <w:ilvl w:val="0"/>
                <w:numId w:val="36"/>
              </w:numPr>
              <w:tabs>
                <w:tab w:val="left" w:pos="624"/>
              </w:tabs>
              <w:rPr>
                <w:rtl/>
              </w:rPr>
            </w:pPr>
            <w:r w:rsidRPr="007E3A64">
              <w:rPr>
                <w:rtl/>
              </w:rPr>
              <w:t>על אף האמור בסעיף קטן (</w:t>
            </w:r>
            <w:r w:rsidRPr="007E3A64">
              <w:rPr>
                <w:rFonts w:hint="cs"/>
                <w:rtl/>
              </w:rPr>
              <w:t>ב</w:t>
            </w:r>
            <w:r w:rsidRPr="007E3A64">
              <w:rPr>
                <w:rtl/>
              </w:rPr>
              <w:t xml:space="preserve">), הוכיח בעל הרכב כי לא חלה עליו אחריות </w:t>
            </w:r>
            <w:r w:rsidRPr="007E3A64">
              <w:rPr>
                <w:rFonts w:hint="cs"/>
                <w:rtl/>
              </w:rPr>
              <w:t>להפרה</w:t>
            </w:r>
            <w:r w:rsidRPr="007E3A64">
              <w:rPr>
                <w:rtl/>
              </w:rPr>
              <w:t xml:space="preserve"> לפי סעיף 27ב לפקודת התעבורה, ניתן </w:t>
            </w:r>
            <w:r w:rsidRPr="007E3A64">
              <w:rPr>
                <w:rFonts w:hint="eastAsia"/>
                <w:rtl/>
              </w:rPr>
              <w:t>להמציא</w:t>
            </w:r>
            <w:r w:rsidRPr="007E3A64">
              <w:rPr>
                <w:rFonts w:hint="cs"/>
                <w:rtl/>
              </w:rPr>
              <w:t xml:space="preserve"> </w:t>
            </w:r>
            <w:r w:rsidRPr="007E3A64">
              <w:rPr>
                <w:rtl/>
              </w:rPr>
              <w:t>הודעת תשלום אם לא עברה שנה מיום ביצוע העבירה או אם לא חלפו שלושה חודשים מהמועד שבו הוכיח בעל הרכב כי לא חלה עליו אחריות כאמור, לפי המאוחר, ובלבד שלא עברו שנתיים מיום ביצוע העבירה</w:t>
            </w:r>
            <w:r>
              <w:rPr>
                <w:rFonts w:hint="cs"/>
                <w:rtl/>
              </w:rPr>
              <w:t>.</w:t>
            </w:r>
          </w:p>
        </w:tc>
      </w:tr>
      <w:tr w:rsidR="003918F0">
        <w:trPr>
          <w:cantSplit/>
          <w:trHeight w:val="60"/>
        </w:trPr>
        <w:tc>
          <w:tcPr>
            <w:tcW w:w="1871" w:type="dxa"/>
          </w:tcPr>
          <w:p w:rsidR="003918F0" w:rsidRDefault="003918F0" w:rsidP="001947FC">
            <w:pPr>
              <w:pStyle w:val="TableSideHeading"/>
              <w:keepLines w:val="0"/>
            </w:pPr>
            <w:bookmarkStart w:id="84" w:name="_Toc74773791"/>
            <w:bookmarkStart w:id="85" w:name="_Toc75433166"/>
            <w:r>
              <w:rPr>
                <w:rFonts w:hint="cs"/>
                <w:rtl/>
              </w:rPr>
              <w:t>ביצוע ותקנות</w:t>
            </w:r>
            <w:bookmarkEnd w:id="84"/>
            <w:bookmarkEnd w:id="85"/>
          </w:p>
        </w:tc>
        <w:tc>
          <w:tcPr>
            <w:tcW w:w="624" w:type="dxa"/>
          </w:tcPr>
          <w:p w:rsidR="003918F0" w:rsidRDefault="003918F0" w:rsidP="00AB3999">
            <w:pPr>
              <w:pStyle w:val="TableText"/>
              <w:keepLines w:val="0"/>
              <w:numPr>
                <w:ilvl w:val="0"/>
                <w:numId w:val="3"/>
              </w:numPr>
            </w:pPr>
          </w:p>
        </w:tc>
        <w:tc>
          <w:tcPr>
            <w:tcW w:w="7146" w:type="dxa"/>
            <w:gridSpan w:val="5"/>
          </w:tcPr>
          <w:p w:rsidR="003918F0" w:rsidRPr="00C34DE2" w:rsidRDefault="003918F0" w:rsidP="001947FC">
            <w:pPr>
              <w:pStyle w:val="TableBlock"/>
              <w:keepLines w:val="0"/>
              <w:rPr>
                <w:rtl/>
              </w:rPr>
            </w:pPr>
            <w:r w:rsidRPr="00E60050">
              <w:rPr>
                <w:rFonts w:hint="cs"/>
                <w:rtl/>
              </w:rPr>
              <w:t xml:space="preserve">שר המשפטים ממונה על ביצוע </w:t>
            </w:r>
            <w:r w:rsidRPr="00E60050">
              <w:rPr>
                <w:rFonts w:hint="eastAsia"/>
                <w:rtl/>
              </w:rPr>
              <w:t>חוק</w:t>
            </w:r>
            <w:r w:rsidRPr="00E60050">
              <w:rPr>
                <w:rtl/>
              </w:rPr>
              <w:t xml:space="preserve"> </w:t>
            </w:r>
            <w:r w:rsidRPr="00E60050">
              <w:rPr>
                <w:rFonts w:hint="eastAsia"/>
                <w:rtl/>
              </w:rPr>
              <w:t>זה</w:t>
            </w:r>
            <w:r w:rsidRPr="00E60050">
              <w:rPr>
                <w:rFonts w:hint="cs"/>
                <w:rtl/>
              </w:rPr>
              <w:t>, והוא רשאי להתקין תקנות לביצועו, לרבות בעניינים אלה:</w:t>
            </w:r>
          </w:p>
        </w:tc>
      </w:tr>
      <w:tr w:rsidR="00C42AFA">
        <w:trPr>
          <w:cantSplit/>
          <w:trHeight w:val="60"/>
        </w:trPr>
        <w:tc>
          <w:tcPr>
            <w:tcW w:w="1871" w:type="dxa"/>
          </w:tcPr>
          <w:p w:rsidR="00C42AFA" w:rsidRDefault="00C42AFA" w:rsidP="001947FC">
            <w:pPr>
              <w:pStyle w:val="TableSideHeading"/>
              <w:keepLines w:val="0"/>
              <w:rPr>
                <w:rtl/>
              </w:rPr>
            </w:pPr>
          </w:p>
        </w:tc>
        <w:tc>
          <w:tcPr>
            <w:tcW w:w="624" w:type="dxa"/>
          </w:tcPr>
          <w:p w:rsidR="00C42AFA" w:rsidRDefault="00C42AFA" w:rsidP="00C42AFA">
            <w:pPr>
              <w:pStyle w:val="TableText"/>
            </w:pPr>
          </w:p>
        </w:tc>
        <w:tc>
          <w:tcPr>
            <w:tcW w:w="7146" w:type="dxa"/>
            <w:gridSpan w:val="5"/>
          </w:tcPr>
          <w:p w:rsidR="00C42AFA" w:rsidRPr="00C42AFA" w:rsidRDefault="00C42AFA" w:rsidP="002D01EE">
            <w:pPr>
              <w:pStyle w:val="TableBlock"/>
              <w:numPr>
                <w:ilvl w:val="0"/>
                <w:numId w:val="46"/>
              </w:numPr>
              <w:tabs>
                <w:tab w:val="left" w:pos="624"/>
              </w:tabs>
              <w:rPr>
                <w:rtl/>
              </w:rPr>
            </w:pPr>
            <w:r>
              <w:rPr>
                <w:rFonts w:hint="cs"/>
                <w:rtl/>
              </w:rPr>
              <w:t>סדרי הדין ודיני הראיות בבית דין לתעבורה, ובכלל זה הדרך להגשת ערר והדרך לקיום דיון באמצעים טכנולוגים;</w:t>
            </w:r>
          </w:p>
        </w:tc>
      </w:tr>
      <w:tr w:rsidR="00C42AFA">
        <w:trPr>
          <w:cantSplit/>
          <w:trHeight w:val="60"/>
        </w:trPr>
        <w:tc>
          <w:tcPr>
            <w:tcW w:w="1871" w:type="dxa"/>
          </w:tcPr>
          <w:p w:rsidR="00C42AFA" w:rsidRDefault="00C42AFA" w:rsidP="00C42AFA">
            <w:pPr>
              <w:pStyle w:val="TableSideHeading"/>
              <w:keepLines w:val="0"/>
              <w:rPr>
                <w:rtl/>
              </w:rPr>
            </w:pPr>
          </w:p>
        </w:tc>
        <w:tc>
          <w:tcPr>
            <w:tcW w:w="624" w:type="dxa"/>
          </w:tcPr>
          <w:p w:rsidR="00C42AFA" w:rsidRDefault="00C42AFA" w:rsidP="00C42AFA">
            <w:pPr>
              <w:pStyle w:val="TableText"/>
            </w:pPr>
          </w:p>
        </w:tc>
        <w:tc>
          <w:tcPr>
            <w:tcW w:w="7146" w:type="dxa"/>
            <w:gridSpan w:val="5"/>
          </w:tcPr>
          <w:p w:rsidR="00C42AFA" w:rsidRDefault="00C42AFA" w:rsidP="002D01EE">
            <w:pPr>
              <w:pStyle w:val="TableBlock"/>
              <w:numPr>
                <w:ilvl w:val="0"/>
                <w:numId w:val="46"/>
              </w:numPr>
              <w:tabs>
                <w:tab w:val="left" w:pos="624"/>
              </w:tabs>
              <w:rPr>
                <w:rtl/>
              </w:rPr>
            </w:pPr>
            <w:r>
              <w:rPr>
                <w:rFonts w:hint="cs"/>
                <w:rtl/>
              </w:rPr>
              <w:t xml:space="preserve">סדרי </w:t>
            </w:r>
            <w:proofErr w:type="spellStart"/>
            <w:r>
              <w:rPr>
                <w:rFonts w:hint="cs"/>
                <w:rtl/>
              </w:rPr>
              <w:t>המינהל</w:t>
            </w:r>
            <w:proofErr w:type="spellEnd"/>
            <w:r>
              <w:rPr>
                <w:rFonts w:hint="cs"/>
                <w:rtl/>
              </w:rPr>
              <w:t xml:space="preserve"> בבית דין לתעבורה, ובכלל זה שימוש במערכת מקוונת;</w:t>
            </w:r>
          </w:p>
        </w:tc>
      </w:tr>
      <w:tr w:rsidR="00C42AFA">
        <w:trPr>
          <w:cantSplit/>
          <w:trHeight w:val="60"/>
        </w:trPr>
        <w:tc>
          <w:tcPr>
            <w:tcW w:w="1871" w:type="dxa"/>
          </w:tcPr>
          <w:p w:rsidR="00C42AFA" w:rsidRDefault="00C42AFA" w:rsidP="00C42AFA">
            <w:pPr>
              <w:pStyle w:val="TableSideHeading"/>
              <w:keepLines w:val="0"/>
              <w:rPr>
                <w:rtl/>
              </w:rPr>
            </w:pPr>
          </w:p>
        </w:tc>
        <w:tc>
          <w:tcPr>
            <w:tcW w:w="624" w:type="dxa"/>
          </w:tcPr>
          <w:p w:rsidR="00C42AFA" w:rsidRDefault="00C42AFA" w:rsidP="00C42AFA">
            <w:pPr>
              <w:pStyle w:val="TableText"/>
            </w:pPr>
          </w:p>
        </w:tc>
        <w:tc>
          <w:tcPr>
            <w:tcW w:w="7146" w:type="dxa"/>
            <w:gridSpan w:val="5"/>
          </w:tcPr>
          <w:p w:rsidR="00C42AFA" w:rsidRDefault="00C42AFA" w:rsidP="002D01EE">
            <w:pPr>
              <w:pStyle w:val="TableBlock"/>
              <w:numPr>
                <w:ilvl w:val="0"/>
                <w:numId w:val="46"/>
              </w:numPr>
              <w:tabs>
                <w:tab w:val="left" w:pos="624"/>
              </w:tabs>
              <w:rPr>
                <w:rtl/>
              </w:rPr>
            </w:pPr>
            <w:r>
              <w:rPr>
                <w:rFonts w:hint="cs"/>
                <w:rtl/>
              </w:rPr>
              <w:t xml:space="preserve">סדרי רישום של הפרות תעבורה, ואופן ניהול מרשם תעבורה </w:t>
            </w:r>
            <w:proofErr w:type="spellStart"/>
            <w:r>
              <w:rPr>
                <w:rFonts w:hint="cs"/>
                <w:rtl/>
              </w:rPr>
              <w:t>מינהלי</w:t>
            </w:r>
            <w:proofErr w:type="spellEnd"/>
            <w:r>
              <w:rPr>
                <w:rFonts w:hint="cs"/>
                <w:rtl/>
              </w:rPr>
              <w:t>;</w:t>
            </w:r>
          </w:p>
        </w:tc>
      </w:tr>
      <w:tr w:rsidR="00C42AFA">
        <w:trPr>
          <w:cantSplit/>
          <w:trHeight w:val="60"/>
        </w:trPr>
        <w:tc>
          <w:tcPr>
            <w:tcW w:w="1871" w:type="dxa"/>
          </w:tcPr>
          <w:p w:rsidR="00C42AFA" w:rsidRDefault="00C42AFA" w:rsidP="00C42AFA">
            <w:pPr>
              <w:pStyle w:val="TableSideHeading"/>
              <w:keepLines w:val="0"/>
              <w:rPr>
                <w:rtl/>
              </w:rPr>
            </w:pPr>
          </w:p>
        </w:tc>
        <w:tc>
          <w:tcPr>
            <w:tcW w:w="624" w:type="dxa"/>
          </w:tcPr>
          <w:p w:rsidR="00C42AFA" w:rsidRDefault="00C42AFA" w:rsidP="00C42AFA">
            <w:pPr>
              <w:pStyle w:val="TableText"/>
            </w:pPr>
          </w:p>
        </w:tc>
        <w:tc>
          <w:tcPr>
            <w:tcW w:w="7146" w:type="dxa"/>
            <w:gridSpan w:val="5"/>
          </w:tcPr>
          <w:p w:rsidR="00C42AFA" w:rsidRDefault="00C42AFA" w:rsidP="002D01EE">
            <w:pPr>
              <w:pStyle w:val="TableBlock"/>
              <w:numPr>
                <w:ilvl w:val="0"/>
                <w:numId w:val="46"/>
              </w:numPr>
              <w:tabs>
                <w:tab w:val="left" w:pos="624"/>
              </w:tabs>
              <w:rPr>
                <w:rtl/>
              </w:rPr>
            </w:pPr>
            <w:r>
              <w:rPr>
                <w:rFonts w:hint="cs"/>
                <w:rtl/>
              </w:rPr>
              <w:t>אגרות בעד הגשת הליכים לבית דין לתעבורה, ונסיבות שבהן יינתן פטור מאגרות כאמור, באישור ועדת הכלכלה של הכנסת.</w:t>
            </w:r>
          </w:p>
        </w:tc>
      </w:tr>
      <w:tr w:rsidR="00C42AFA">
        <w:trPr>
          <w:cantSplit/>
          <w:trHeight w:val="60"/>
        </w:trPr>
        <w:tc>
          <w:tcPr>
            <w:tcW w:w="1871" w:type="dxa"/>
          </w:tcPr>
          <w:p w:rsidR="00C42AFA" w:rsidRDefault="00C42AFA" w:rsidP="00C42AFA">
            <w:pPr>
              <w:pStyle w:val="TableSideHeading"/>
              <w:keepLines w:val="0"/>
            </w:pPr>
            <w:bookmarkStart w:id="86" w:name="_Toc74773792"/>
            <w:bookmarkStart w:id="87" w:name="_Toc75433167"/>
            <w:r>
              <w:rPr>
                <w:rFonts w:hint="cs"/>
                <w:rtl/>
              </w:rPr>
              <w:t xml:space="preserve">תיקון חוק בתי דין </w:t>
            </w:r>
            <w:proofErr w:type="spellStart"/>
            <w:r>
              <w:rPr>
                <w:rFonts w:hint="cs"/>
                <w:rtl/>
              </w:rPr>
              <w:t>מינהליים</w:t>
            </w:r>
            <w:bookmarkEnd w:id="86"/>
            <w:bookmarkEnd w:id="87"/>
            <w:proofErr w:type="spellEnd"/>
          </w:p>
        </w:tc>
        <w:tc>
          <w:tcPr>
            <w:tcW w:w="624" w:type="dxa"/>
          </w:tcPr>
          <w:p w:rsidR="00C42AFA" w:rsidRDefault="00C42AFA" w:rsidP="00C42AFA">
            <w:pPr>
              <w:pStyle w:val="TableText"/>
              <w:keepLines w:val="0"/>
              <w:numPr>
                <w:ilvl w:val="0"/>
                <w:numId w:val="3"/>
              </w:numPr>
            </w:pPr>
          </w:p>
        </w:tc>
        <w:tc>
          <w:tcPr>
            <w:tcW w:w="7146" w:type="dxa"/>
            <w:gridSpan w:val="5"/>
          </w:tcPr>
          <w:p w:rsidR="00C42AFA" w:rsidRPr="00C34DE2" w:rsidRDefault="00C42AFA" w:rsidP="00C42AFA">
            <w:pPr>
              <w:pStyle w:val="TableBlock"/>
              <w:keepLines w:val="0"/>
            </w:pPr>
            <w:r w:rsidRPr="005479A2">
              <w:rPr>
                <w:rFonts w:hint="eastAsia"/>
                <w:rtl/>
              </w:rPr>
              <w:t>בחוק</w:t>
            </w:r>
            <w:r w:rsidRPr="005479A2">
              <w:rPr>
                <w:rtl/>
              </w:rPr>
              <w:t xml:space="preserve"> </w:t>
            </w:r>
            <w:r w:rsidRPr="005479A2">
              <w:rPr>
                <w:rFonts w:hint="eastAsia"/>
                <w:rtl/>
              </w:rPr>
              <w:t>בתי</w:t>
            </w:r>
            <w:r w:rsidRPr="005479A2">
              <w:rPr>
                <w:rtl/>
              </w:rPr>
              <w:t xml:space="preserve"> </w:t>
            </w:r>
            <w:r w:rsidRPr="005479A2">
              <w:rPr>
                <w:rFonts w:hint="eastAsia"/>
                <w:rtl/>
              </w:rPr>
              <w:t>דין</w:t>
            </w:r>
            <w:r w:rsidRPr="005479A2">
              <w:rPr>
                <w:rtl/>
              </w:rPr>
              <w:t xml:space="preserve"> </w:t>
            </w:r>
            <w:proofErr w:type="spellStart"/>
            <w:r w:rsidRPr="005479A2">
              <w:rPr>
                <w:rFonts w:hint="eastAsia"/>
                <w:rtl/>
              </w:rPr>
              <w:t>מינהליים</w:t>
            </w:r>
            <w:proofErr w:type="spellEnd"/>
            <w:r>
              <w:rPr>
                <w:rFonts w:hint="cs"/>
                <w:rtl/>
              </w:rPr>
              <w:t xml:space="preserve"> </w:t>
            </w:r>
            <w:r>
              <w:rPr>
                <w:rtl/>
              </w:rPr>
              <w:t>–</w:t>
            </w:r>
          </w:p>
        </w:tc>
      </w:tr>
      <w:tr w:rsidR="00C42AFA">
        <w:trPr>
          <w:cantSplit/>
          <w:trHeight w:val="60"/>
        </w:trPr>
        <w:tc>
          <w:tcPr>
            <w:tcW w:w="1871" w:type="dxa"/>
          </w:tcPr>
          <w:p w:rsidR="00C42AFA" w:rsidRDefault="00C42AFA" w:rsidP="00C42AFA">
            <w:pPr>
              <w:pStyle w:val="TableSideHeading"/>
              <w:keepLines w:val="0"/>
              <w:rPr>
                <w:rtl/>
              </w:rPr>
            </w:pPr>
          </w:p>
        </w:tc>
        <w:tc>
          <w:tcPr>
            <w:tcW w:w="624" w:type="dxa"/>
          </w:tcPr>
          <w:p w:rsidR="00C42AFA" w:rsidRDefault="00C42AFA" w:rsidP="00C42AFA">
            <w:pPr>
              <w:pStyle w:val="TableText"/>
            </w:pPr>
          </w:p>
        </w:tc>
        <w:tc>
          <w:tcPr>
            <w:tcW w:w="7146" w:type="dxa"/>
            <w:gridSpan w:val="5"/>
          </w:tcPr>
          <w:p w:rsidR="00C42AFA" w:rsidRPr="005479A2" w:rsidRDefault="00C42AFA" w:rsidP="002D01EE">
            <w:pPr>
              <w:pStyle w:val="TableBlock"/>
              <w:numPr>
                <w:ilvl w:val="0"/>
                <w:numId w:val="47"/>
              </w:numPr>
              <w:tabs>
                <w:tab w:val="left" w:pos="624"/>
              </w:tabs>
              <w:rPr>
                <w:rtl/>
              </w:rPr>
            </w:pPr>
            <w:r>
              <w:rPr>
                <w:rFonts w:hint="cs"/>
                <w:rtl/>
              </w:rPr>
              <w:t>בסעיף 4 בסעיף קטן (א) אחרי "בתוספת" ובסעיף קטן (ב) אחרי "התוספת" יבוא "הראשונה".</w:t>
            </w:r>
          </w:p>
        </w:tc>
      </w:tr>
      <w:tr w:rsidR="00C42AFA">
        <w:trPr>
          <w:cantSplit/>
          <w:trHeight w:val="60"/>
        </w:trPr>
        <w:tc>
          <w:tcPr>
            <w:tcW w:w="1871" w:type="dxa"/>
          </w:tcPr>
          <w:p w:rsidR="00C42AFA" w:rsidRDefault="00C42AFA" w:rsidP="00C42AFA">
            <w:pPr>
              <w:pStyle w:val="TableSideHeading"/>
              <w:keepLines w:val="0"/>
              <w:rPr>
                <w:rtl/>
              </w:rPr>
            </w:pPr>
          </w:p>
        </w:tc>
        <w:tc>
          <w:tcPr>
            <w:tcW w:w="624" w:type="dxa"/>
          </w:tcPr>
          <w:p w:rsidR="00C42AFA" w:rsidRDefault="00C42AFA" w:rsidP="00C42AFA">
            <w:pPr>
              <w:pStyle w:val="TableText"/>
            </w:pPr>
          </w:p>
        </w:tc>
        <w:tc>
          <w:tcPr>
            <w:tcW w:w="7146" w:type="dxa"/>
            <w:gridSpan w:val="5"/>
          </w:tcPr>
          <w:p w:rsidR="00C42AFA" w:rsidRDefault="00C42AFA" w:rsidP="002D01EE">
            <w:pPr>
              <w:pStyle w:val="TableBlock"/>
              <w:numPr>
                <w:ilvl w:val="0"/>
                <w:numId w:val="47"/>
              </w:numPr>
              <w:tabs>
                <w:tab w:val="left" w:pos="624"/>
              </w:tabs>
              <w:rPr>
                <w:rtl/>
              </w:rPr>
            </w:pPr>
            <w:r>
              <w:rPr>
                <w:rFonts w:hint="cs"/>
                <w:rtl/>
              </w:rPr>
              <w:t xml:space="preserve">בסעיף 14, סעיף קטן (ב) </w:t>
            </w:r>
            <w:r>
              <w:rPr>
                <w:rtl/>
              </w:rPr>
              <w:t>–</w:t>
            </w:r>
            <w:r>
              <w:rPr>
                <w:rFonts w:hint="cs"/>
                <w:rtl/>
              </w:rPr>
              <w:t xml:space="preserve"> יבוטל.</w:t>
            </w:r>
          </w:p>
        </w:tc>
      </w:tr>
      <w:tr w:rsidR="00C42AFA">
        <w:trPr>
          <w:cantSplit/>
          <w:trHeight w:val="60"/>
        </w:trPr>
        <w:tc>
          <w:tcPr>
            <w:tcW w:w="1871" w:type="dxa"/>
          </w:tcPr>
          <w:p w:rsidR="00C42AFA" w:rsidRDefault="00C42AFA" w:rsidP="00C42AFA">
            <w:pPr>
              <w:pStyle w:val="TableSideHeading"/>
              <w:keepLines w:val="0"/>
              <w:rPr>
                <w:rtl/>
              </w:rPr>
            </w:pPr>
          </w:p>
        </w:tc>
        <w:tc>
          <w:tcPr>
            <w:tcW w:w="624" w:type="dxa"/>
          </w:tcPr>
          <w:p w:rsidR="00C42AFA" w:rsidRDefault="00C42AFA" w:rsidP="00C42AFA">
            <w:pPr>
              <w:pStyle w:val="TableText"/>
            </w:pPr>
          </w:p>
        </w:tc>
        <w:tc>
          <w:tcPr>
            <w:tcW w:w="7146" w:type="dxa"/>
            <w:gridSpan w:val="5"/>
          </w:tcPr>
          <w:p w:rsidR="00C42AFA" w:rsidRDefault="00C42AFA" w:rsidP="002D01EE">
            <w:pPr>
              <w:pStyle w:val="TableBlock"/>
              <w:numPr>
                <w:ilvl w:val="0"/>
                <w:numId w:val="47"/>
              </w:numPr>
              <w:tabs>
                <w:tab w:val="left" w:pos="624"/>
              </w:tabs>
              <w:rPr>
                <w:rtl/>
              </w:rPr>
            </w:pPr>
            <w:r w:rsidRPr="00C744C7">
              <w:rPr>
                <w:rFonts w:hint="cs"/>
                <w:sz w:val="26"/>
                <w:rtl/>
              </w:rPr>
              <w:t>אחרי סעיף 14 יבוא:</w:t>
            </w:r>
          </w:p>
        </w:tc>
      </w:tr>
      <w:tr w:rsidR="00C42AFA">
        <w:trPr>
          <w:cantSplit/>
          <w:trHeight w:val="60"/>
        </w:trPr>
        <w:tc>
          <w:tcPr>
            <w:tcW w:w="1871" w:type="dxa"/>
          </w:tcPr>
          <w:p w:rsidR="00C42AFA" w:rsidRDefault="00C42AFA" w:rsidP="00C42AFA">
            <w:pPr>
              <w:pStyle w:val="TableSideHeading"/>
              <w:keepLines w:val="0"/>
            </w:pPr>
          </w:p>
        </w:tc>
        <w:tc>
          <w:tcPr>
            <w:tcW w:w="624" w:type="dxa"/>
          </w:tcPr>
          <w:p w:rsidR="00C42AFA" w:rsidRDefault="00C42AFA" w:rsidP="00C42AFA">
            <w:pPr>
              <w:pStyle w:val="TableText"/>
              <w:keepLines w:val="0"/>
            </w:pPr>
          </w:p>
        </w:tc>
        <w:tc>
          <w:tcPr>
            <w:tcW w:w="1872" w:type="dxa"/>
            <w:gridSpan w:val="3"/>
          </w:tcPr>
          <w:p w:rsidR="00C42AFA" w:rsidRDefault="00C42AFA" w:rsidP="00C42AFA">
            <w:pPr>
              <w:pStyle w:val="TableInnerSideHeading"/>
            </w:pPr>
            <w:r>
              <w:rPr>
                <w:rFonts w:hint="cs"/>
                <w:rtl/>
              </w:rPr>
              <w:t>"מנגנון בירור תלונות</w:t>
            </w:r>
          </w:p>
        </w:tc>
        <w:tc>
          <w:tcPr>
            <w:tcW w:w="624" w:type="dxa"/>
          </w:tcPr>
          <w:p w:rsidR="00C42AFA" w:rsidRDefault="00C42AFA" w:rsidP="00C42AFA">
            <w:pPr>
              <w:pStyle w:val="TableText"/>
            </w:pPr>
            <w:r>
              <w:rPr>
                <w:rFonts w:hint="cs"/>
                <w:rtl/>
              </w:rPr>
              <w:t>14א.</w:t>
            </w:r>
          </w:p>
        </w:tc>
        <w:tc>
          <w:tcPr>
            <w:tcW w:w="4650" w:type="dxa"/>
          </w:tcPr>
          <w:p w:rsidR="00C42AFA" w:rsidRDefault="00C42AFA" w:rsidP="00FE1884">
            <w:pPr>
              <w:pStyle w:val="TableBlock"/>
              <w:numPr>
                <w:ilvl w:val="0"/>
                <w:numId w:val="37"/>
              </w:numPr>
              <w:tabs>
                <w:tab w:val="left" w:pos="624"/>
              </w:tabs>
            </w:pPr>
            <w:r w:rsidRPr="00C744C7">
              <w:rPr>
                <w:rFonts w:ascii="David" w:hAnsi="David"/>
                <w:sz w:val="26"/>
                <w:rtl/>
              </w:rPr>
              <w:t xml:space="preserve">שר </w:t>
            </w:r>
            <w:r w:rsidRPr="00C744C7">
              <w:rPr>
                <w:rFonts w:ascii="David" w:hAnsi="David" w:hint="cs"/>
                <w:sz w:val="26"/>
                <w:rtl/>
              </w:rPr>
              <w:t>המשפטים</w:t>
            </w:r>
            <w:r w:rsidRPr="00C744C7">
              <w:rPr>
                <w:rFonts w:ascii="David" w:hAnsi="David"/>
                <w:sz w:val="26"/>
                <w:rtl/>
              </w:rPr>
              <w:t xml:space="preserve"> ימנה שופט, לרבות שופט שיצא לקצבה או שפרש, </w:t>
            </w:r>
            <w:r w:rsidRPr="00111999">
              <w:rPr>
                <w:rFonts w:ascii="David" w:hAnsi="David" w:hint="cs"/>
                <w:sz w:val="26"/>
                <w:rtl/>
              </w:rPr>
              <w:t xml:space="preserve">בהסכמת נשיא בית המשפט העליון, </w:t>
            </w:r>
            <w:r w:rsidRPr="00C744C7">
              <w:rPr>
                <w:rFonts w:ascii="David" w:hAnsi="David"/>
                <w:sz w:val="26"/>
                <w:rtl/>
              </w:rPr>
              <w:t xml:space="preserve">לאחראי על בירור תלונות </w:t>
            </w:r>
            <w:r w:rsidRPr="00C744C7">
              <w:rPr>
                <w:rFonts w:ascii="David" w:hAnsi="David" w:hint="cs"/>
                <w:sz w:val="26"/>
                <w:rtl/>
              </w:rPr>
              <w:t xml:space="preserve">נגד </w:t>
            </w:r>
            <w:r w:rsidR="00E12C14">
              <w:rPr>
                <w:rFonts w:ascii="David" w:hAnsi="David" w:hint="cs"/>
                <w:sz w:val="26"/>
                <w:rtl/>
              </w:rPr>
              <w:t>חבר בית דין</w:t>
            </w:r>
            <w:r w:rsidRPr="00C744C7">
              <w:rPr>
                <w:rFonts w:ascii="David" w:hAnsi="David" w:hint="cs"/>
                <w:sz w:val="26"/>
                <w:rtl/>
              </w:rPr>
              <w:t xml:space="preserve"> או </w:t>
            </w:r>
            <w:r w:rsidR="00E12C14">
              <w:rPr>
                <w:rFonts w:ascii="David" w:hAnsi="David" w:hint="cs"/>
                <w:sz w:val="26"/>
                <w:rtl/>
              </w:rPr>
              <w:t>כל גורם שיפוטי ומעין-שיפוטי אחר בגופים</w:t>
            </w:r>
            <w:r w:rsidRPr="00C744C7">
              <w:rPr>
                <w:rFonts w:ascii="David" w:hAnsi="David" w:hint="cs"/>
                <w:sz w:val="26"/>
                <w:rtl/>
              </w:rPr>
              <w:t xml:space="preserve"> המנויים בתוספת השנייה </w:t>
            </w:r>
            <w:r w:rsidRPr="00C744C7">
              <w:rPr>
                <w:rFonts w:ascii="David" w:hAnsi="David"/>
                <w:sz w:val="26"/>
                <w:rtl/>
              </w:rPr>
              <w:t>(</w:t>
            </w:r>
            <w:r w:rsidR="00793D14">
              <w:rPr>
                <w:rFonts w:ascii="David" w:hAnsi="David" w:hint="cs"/>
                <w:sz w:val="26"/>
                <w:rtl/>
              </w:rPr>
              <w:t>בסעיף</w:t>
            </w:r>
            <w:r w:rsidR="00793D14" w:rsidRPr="00C744C7">
              <w:rPr>
                <w:rFonts w:ascii="David" w:hAnsi="David"/>
                <w:sz w:val="26"/>
                <w:rtl/>
              </w:rPr>
              <w:t xml:space="preserve"> </w:t>
            </w:r>
            <w:r w:rsidRPr="00C744C7">
              <w:rPr>
                <w:rFonts w:ascii="David" w:hAnsi="David"/>
                <w:sz w:val="26"/>
                <w:rtl/>
              </w:rPr>
              <w:t xml:space="preserve">זה – </w:t>
            </w:r>
            <w:r w:rsidRPr="00C744C7">
              <w:rPr>
                <w:rFonts w:ascii="David" w:hAnsi="David" w:hint="cs"/>
                <w:sz w:val="26"/>
                <w:rtl/>
              </w:rPr>
              <w:t>ה</w:t>
            </w:r>
            <w:r w:rsidRPr="00C744C7">
              <w:rPr>
                <w:rFonts w:ascii="David" w:hAnsi="David"/>
                <w:sz w:val="26"/>
                <w:rtl/>
              </w:rPr>
              <w:t xml:space="preserve">אחראי על בירור תלונות); מי שמונה כאמור יהיה </w:t>
            </w:r>
            <w:r w:rsidRPr="00C744C7">
              <w:rPr>
                <w:rFonts w:ascii="David" w:hAnsi="David" w:hint="cs"/>
                <w:sz w:val="26"/>
                <w:rtl/>
              </w:rPr>
              <w:t>ה</w:t>
            </w:r>
            <w:r w:rsidRPr="00C744C7">
              <w:rPr>
                <w:rFonts w:ascii="David" w:hAnsi="David"/>
                <w:sz w:val="26"/>
                <w:rtl/>
              </w:rPr>
              <w:t xml:space="preserve">אחראי לבירור תלונות על התנהגות </w:t>
            </w:r>
            <w:r w:rsidR="00E12C14">
              <w:rPr>
                <w:rFonts w:ascii="David" w:hAnsi="David" w:hint="cs"/>
                <w:sz w:val="26"/>
                <w:rtl/>
              </w:rPr>
              <w:t>חברי בית דין</w:t>
            </w:r>
            <w:r w:rsidR="00E12C14" w:rsidRPr="00C744C7">
              <w:rPr>
                <w:rFonts w:ascii="David" w:hAnsi="David"/>
                <w:sz w:val="26"/>
                <w:rtl/>
              </w:rPr>
              <w:t xml:space="preserve"> </w:t>
            </w:r>
            <w:r w:rsidR="00E12C14">
              <w:rPr>
                <w:rFonts w:ascii="David" w:hAnsi="David" w:hint="cs"/>
                <w:sz w:val="26"/>
                <w:rtl/>
              </w:rPr>
              <w:t xml:space="preserve">וגורמים שיפוטיים ומעין-שיפוטיים אחרים </w:t>
            </w:r>
            <w:r w:rsidRPr="00C744C7">
              <w:rPr>
                <w:rFonts w:ascii="David" w:hAnsi="David"/>
                <w:sz w:val="26"/>
                <w:rtl/>
              </w:rPr>
              <w:t xml:space="preserve">במסגרת מילוי תפקידם, לרבות תלונות לעניין דרך ניהול הליכים </w:t>
            </w:r>
            <w:r w:rsidRPr="00C744C7">
              <w:rPr>
                <w:rFonts w:ascii="David" w:hAnsi="David" w:hint="cs"/>
                <w:sz w:val="26"/>
                <w:rtl/>
              </w:rPr>
              <w:t>על ידם, לפי כל דין</w:t>
            </w:r>
            <w:r w:rsidRPr="00C744C7">
              <w:rPr>
                <w:rFonts w:ascii="David" w:hAnsi="David"/>
                <w:sz w:val="26"/>
                <w:rtl/>
              </w:rPr>
              <w:t>.</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4650" w:type="dxa"/>
          </w:tcPr>
          <w:p w:rsidR="00C42AFA" w:rsidRDefault="00C42AFA" w:rsidP="00E12C14">
            <w:pPr>
              <w:pStyle w:val="TableBlock"/>
              <w:numPr>
                <w:ilvl w:val="0"/>
                <w:numId w:val="37"/>
              </w:numPr>
              <w:tabs>
                <w:tab w:val="left" w:pos="624"/>
              </w:tabs>
            </w:pPr>
            <w:r w:rsidRPr="00C744C7">
              <w:rPr>
                <w:sz w:val="26"/>
                <w:rtl/>
              </w:rPr>
              <w:t xml:space="preserve">שר </w:t>
            </w:r>
            <w:r w:rsidRPr="00C744C7">
              <w:rPr>
                <w:rFonts w:ascii="David" w:hAnsi="David"/>
                <w:sz w:val="26"/>
                <w:rtl/>
              </w:rPr>
              <w:t>המשפטים</w:t>
            </w:r>
            <w:r w:rsidRPr="00C744C7">
              <w:rPr>
                <w:sz w:val="26"/>
                <w:rtl/>
              </w:rPr>
              <w:t xml:space="preserve">, בהתייעצות עם השר הממונה על ביצוע </w:t>
            </w:r>
            <w:r w:rsidR="00E12C14">
              <w:rPr>
                <w:rFonts w:hint="cs"/>
                <w:sz w:val="26"/>
                <w:rtl/>
              </w:rPr>
              <w:t>ה</w:t>
            </w:r>
            <w:r w:rsidRPr="00C744C7">
              <w:rPr>
                <w:sz w:val="26"/>
                <w:rtl/>
              </w:rPr>
              <w:t xml:space="preserve">חיקוק שמכוחו מוקם </w:t>
            </w:r>
            <w:r w:rsidR="00E12C14">
              <w:rPr>
                <w:rFonts w:hint="cs"/>
                <w:sz w:val="26"/>
                <w:rtl/>
              </w:rPr>
              <w:t>הגוף הרלוונטי</w:t>
            </w:r>
            <w:r w:rsidRPr="00C744C7">
              <w:rPr>
                <w:sz w:val="26"/>
                <w:rtl/>
              </w:rPr>
              <w:t>, ובאישור ועדת החוקה, חוק ומשפט של הכנסת, רשאי לשנות את התוספת</w:t>
            </w:r>
            <w:r w:rsidRPr="00C744C7">
              <w:rPr>
                <w:rFonts w:hint="cs"/>
                <w:sz w:val="26"/>
                <w:rtl/>
              </w:rPr>
              <w:t xml:space="preserve"> השנייה.</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4650" w:type="dxa"/>
          </w:tcPr>
          <w:p w:rsidR="00C42AFA" w:rsidRPr="00C744C7" w:rsidRDefault="00C42AFA" w:rsidP="00E12C14">
            <w:pPr>
              <w:pStyle w:val="TableBlock"/>
              <w:numPr>
                <w:ilvl w:val="0"/>
                <w:numId w:val="37"/>
              </w:numPr>
              <w:tabs>
                <w:tab w:val="left" w:pos="624"/>
              </w:tabs>
              <w:rPr>
                <w:sz w:val="26"/>
                <w:rtl/>
              </w:rPr>
            </w:pPr>
            <w:r w:rsidRPr="00C744C7">
              <w:rPr>
                <w:sz w:val="26"/>
                <w:rtl/>
              </w:rPr>
              <w:t xml:space="preserve">הוגשה תלונה כלפי </w:t>
            </w:r>
            <w:r w:rsidRPr="00C744C7">
              <w:rPr>
                <w:rFonts w:hint="cs"/>
                <w:sz w:val="26"/>
                <w:rtl/>
              </w:rPr>
              <w:t>דיין</w:t>
            </w:r>
            <w:r w:rsidR="00E12C14">
              <w:rPr>
                <w:rFonts w:hint="cs"/>
                <w:sz w:val="26"/>
                <w:rtl/>
              </w:rPr>
              <w:t xml:space="preserve"> או גורם שיפוטי או מעין-שיפוטי אחר</w:t>
            </w:r>
            <w:r w:rsidRPr="00C744C7">
              <w:rPr>
                <w:sz w:val="26"/>
                <w:rtl/>
              </w:rPr>
              <w:t xml:space="preserve">, </w:t>
            </w:r>
            <w:r w:rsidRPr="00C744C7">
              <w:rPr>
                <w:rFonts w:hint="cs"/>
                <w:sz w:val="26"/>
                <w:rtl/>
              </w:rPr>
              <w:t xml:space="preserve">והחליט האחראי על בירור תלונות לבררה, </w:t>
            </w:r>
            <w:r w:rsidRPr="00C744C7">
              <w:rPr>
                <w:sz w:val="26"/>
                <w:rtl/>
              </w:rPr>
              <w:t xml:space="preserve">יודיע על כך </w:t>
            </w:r>
            <w:r>
              <w:rPr>
                <w:rFonts w:hint="cs"/>
                <w:sz w:val="26"/>
                <w:rtl/>
              </w:rPr>
              <w:t>לדיין</w:t>
            </w:r>
            <w:r w:rsidRPr="00C744C7">
              <w:rPr>
                <w:rFonts w:hint="cs"/>
                <w:sz w:val="26"/>
                <w:rtl/>
              </w:rPr>
              <w:t xml:space="preserve"> </w:t>
            </w:r>
            <w:proofErr w:type="spellStart"/>
            <w:r w:rsidRPr="00C744C7">
              <w:rPr>
                <w:rFonts w:hint="cs"/>
                <w:sz w:val="26"/>
                <w:rtl/>
              </w:rPr>
              <w:t>הנילון</w:t>
            </w:r>
            <w:proofErr w:type="spellEnd"/>
            <w:r w:rsidRPr="00C744C7">
              <w:rPr>
                <w:rFonts w:hint="cs"/>
                <w:sz w:val="26"/>
                <w:rtl/>
              </w:rPr>
              <w:t xml:space="preserve"> ולראש בית הדין הרלוונטי</w:t>
            </w:r>
            <w:r w:rsidR="00E12C14">
              <w:rPr>
                <w:rFonts w:hint="cs"/>
                <w:sz w:val="26"/>
                <w:rtl/>
              </w:rPr>
              <w:t xml:space="preserve">, וככל שאין ראש בית דין רלוונטי </w:t>
            </w:r>
            <w:r w:rsidR="00E12C14">
              <w:rPr>
                <w:sz w:val="26"/>
                <w:rtl/>
              </w:rPr>
              <w:t>–</w:t>
            </w:r>
            <w:r w:rsidR="00E12C14">
              <w:rPr>
                <w:rFonts w:hint="cs"/>
                <w:sz w:val="26"/>
                <w:rtl/>
              </w:rPr>
              <w:t xml:space="preserve"> לגורם האחראי על הגוף </w:t>
            </w:r>
            <w:proofErr w:type="spellStart"/>
            <w:r w:rsidR="00E12C14">
              <w:rPr>
                <w:rFonts w:hint="cs"/>
                <w:sz w:val="26"/>
                <w:rtl/>
              </w:rPr>
              <w:t>עימו</w:t>
            </w:r>
            <w:proofErr w:type="spellEnd"/>
            <w:r w:rsidR="00E12C14">
              <w:rPr>
                <w:rFonts w:hint="cs"/>
                <w:sz w:val="26"/>
                <w:rtl/>
              </w:rPr>
              <w:t xml:space="preserve"> נמנה </w:t>
            </w:r>
            <w:proofErr w:type="spellStart"/>
            <w:r w:rsidR="00E12C14">
              <w:rPr>
                <w:rFonts w:hint="cs"/>
                <w:sz w:val="26"/>
                <w:rtl/>
              </w:rPr>
              <w:t>הנילון</w:t>
            </w:r>
            <w:proofErr w:type="spellEnd"/>
            <w:r w:rsidRPr="00C744C7">
              <w:rPr>
                <w:sz w:val="26"/>
                <w:rtl/>
              </w:rPr>
              <w:t>.</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4650" w:type="dxa"/>
          </w:tcPr>
          <w:p w:rsidR="00C42AFA" w:rsidRPr="00C744C7" w:rsidRDefault="00C42AFA" w:rsidP="002D01EE">
            <w:pPr>
              <w:pStyle w:val="TableBlock"/>
              <w:numPr>
                <w:ilvl w:val="0"/>
                <w:numId w:val="37"/>
              </w:numPr>
              <w:tabs>
                <w:tab w:val="left" w:pos="624"/>
              </w:tabs>
              <w:rPr>
                <w:sz w:val="26"/>
                <w:rtl/>
              </w:rPr>
            </w:pPr>
            <w:r w:rsidRPr="00C744C7">
              <w:rPr>
                <w:rFonts w:hint="cs"/>
                <w:sz w:val="26"/>
                <w:rtl/>
              </w:rPr>
              <w:t>האחראי על בירור תלונות</w:t>
            </w:r>
            <w:r w:rsidRPr="00C744C7">
              <w:rPr>
                <w:sz w:val="26"/>
                <w:rtl/>
              </w:rPr>
              <w:t xml:space="preserve"> רשאי לברר את התלונה בכל דרך שימצא לנכון והוא אינו כפוף לסדרי דין או לדיני הראיות.</w:t>
            </w:r>
          </w:p>
        </w:tc>
      </w:tr>
      <w:tr w:rsidR="00D63DF5">
        <w:trPr>
          <w:cantSplit/>
          <w:trHeight w:val="60"/>
        </w:trPr>
        <w:tc>
          <w:tcPr>
            <w:tcW w:w="1871" w:type="dxa"/>
          </w:tcPr>
          <w:p w:rsidR="00D63DF5" w:rsidRDefault="00D63DF5" w:rsidP="00C42AFA">
            <w:pPr>
              <w:pStyle w:val="TableSideHeading"/>
            </w:pPr>
          </w:p>
        </w:tc>
        <w:tc>
          <w:tcPr>
            <w:tcW w:w="624" w:type="dxa"/>
          </w:tcPr>
          <w:p w:rsidR="00D63DF5" w:rsidRDefault="00D63DF5" w:rsidP="00D63DF5">
            <w:pPr>
              <w:pStyle w:val="TableText"/>
            </w:pPr>
          </w:p>
        </w:tc>
        <w:tc>
          <w:tcPr>
            <w:tcW w:w="624" w:type="dxa"/>
          </w:tcPr>
          <w:p w:rsidR="00D63DF5" w:rsidRDefault="00D63DF5" w:rsidP="00C42AFA">
            <w:pPr>
              <w:pStyle w:val="TableText"/>
            </w:pPr>
          </w:p>
        </w:tc>
        <w:tc>
          <w:tcPr>
            <w:tcW w:w="624" w:type="dxa"/>
          </w:tcPr>
          <w:p w:rsidR="00D63DF5" w:rsidRDefault="00D63DF5" w:rsidP="00C42AFA">
            <w:pPr>
              <w:pStyle w:val="TableText"/>
            </w:pPr>
          </w:p>
        </w:tc>
        <w:tc>
          <w:tcPr>
            <w:tcW w:w="624" w:type="dxa"/>
          </w:tcPr>
          <w:p w:rsidR="00D63DF5" w:rsidRDefault="00D63DF5" w:rsidP="00C42AFA">
            <w:pPr>
              <w:pStyle w:val="TableText"/>
            </w:pPr>
          </w:p>
        </w:tc>
        <w:tc>
          <w:tcPr>
            <w:tcW w:w="624" w:type="dxa"/>
          </w:tcPr>
          <w:p w:rsidR="00D63DF5" w:rsidRDefault="00D63DF5" w:rsidP="00C42AFA">
            <w:pPr>
              <w:pStyle w:val="TableText"/>
            </w:pPr>
          </w:p>
        </w:tc>
        <w:tc>
          <w:tcPr>
            <w:tcW w:w="4650" w:type="dxa"/>
          </w:tcPr>
          <w:p w:rsidR="00D63DF5" w:rsidRPr="00C744C7" w:rsidRDefault="00D63DF5" w:rsidP="0014448A">
            <w:pPr>
              <w:pStyle w:val="TableBlock"/>
              <w:numPr>
                <w:ilvl w:val="0"/>
                <w:numId w:val="37"/>
              </w:numPr>
              <w:tabs>
                <w:tab w:val="left" w:pos="624"/>
              </w:tabs>
              <w:rPr>
                <w:sz w:val="26"/>
                <w:rtl/>
              </w:rPr>
            </w:pPr>
            <w:r>
              <w:rPr>
                <w:rFonts w:hint="cs"/>
                <w:sz w:val="26"/>
                <w:rtl/>
              </w:rPr>
              <w:t xml:space="preserve">בעניין שלא הוסדר בסעיף זה, רשאי האחראי על בירור תלונות לנהוג לפי הוראות חוק </w:t>
            </w:r>
            <w:r w:rsidRPr="00FE1884">
              <w:rPr>
                <w:rFonts w:hint="eastAsia"/>
                <w:sz w:val="26"/>
                <w:rtl/>
              </w:rPr>
              <w:t>נציב</w:t>
            </w:r>
            <w:r w:rsidRPr="00FE1884">
              <w:rPr>
                <w:sz w:val="26"/>
                <w:rtl/>
              </w:rPr>
              <w:t xml:space="preserve"> </w:t>
            </w:r>
            <w:r w:rsidR="00FE1884">
              <w:rPr>
                <w:rFonts w:hint="cs"/>
                <w:sz w:val="26"/>
                <w:rtl/>
              </w:rPr>
              <w:t>תלונות</w:t>
            </w:r>
            <w:r w:rsidRPr="00FE1884">
              <w:rPr>
                <w:sz w:val="26"/>
                <w:rtl/>
              </w:rPr>
              <w:t xml:space="preserve"> הציבור על שופטים, </w:t>
            </w:r>
            <w:r w:rsidRPr="00FE1884">
              <w:rPr>
                <w:rFonts w:hint="eastAsia"/>
                <w:sz w:val="26"/>
                <w:rtl/>
              </w:rPr>
              <w:t>התשס</w:t>
            </w:r>
            <w:r w:rsidRPr="00FE1884">
              <w:rPr>
                <w:sz w:val="26"/>
                <w:rtl/>
              </w:rPr>
              <w:t>"ב-2002</w:t>
            </w:r>
            <w:r w:rsidR="0014448A">
              <w:rPr>
                <w:rStyle w:val="a9"/>
                <w:sz w:val="26"/>
                <w:rtl/>
              </w:rPr>
              <w:footnoteReference w:id="17"/>
            </w:r>
            <w:r w:rsidRPr="00FE1884">
              <w:rPr>
                <w:sz w:val="26"/>
                <w:rtl/>
              </w:rPr>
              <w:t xml:space="preserve">, בשינויים המחויבים, אם אין בכך דבר שאינו מתיישב </w:t>
            </w:r>
            <w:r w:rsidRPr="00D63DF5">
              <w:rPr>
                <w:sz w:val="26"/>
                <w:rtl/>
              </w:rPr>
              <w:t>עם החוק</w:t>
            </w:r>
            <w:r>
              <w:rPr>
                <w:rFonts w:hint="cs"/>
                <w:sz w:val="26"/>
                <w:rtl/>
              </w:rPr>
              <w:t xml:space="preserve"> </w:t>
            </w:r>
            <w:r w:rsidRPr="00FE1884">
              <w:rPr>
                <w:sz w:val="26"/>
                <w:rtl/>
              </w:rPr>
              <w:t xml:space="preserve">או מהות </w:t>
            </w:r>
            <w:r>
              <w:rPr>
                <w:rFonts w:hint="cs"/>
                <w:sz w:val="26"/>
                <w:rtl/>
              </w:rPr>
              <w:t>התפקיד.</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4650" w:type="dxa"/>
          </w:tcPr>
          <w:p w:rsidR="00C42AFA" w:rsidRPr="00C744C7" w:rsidRDefault="00C42AFA" w:rsidP="00E12C14">
            <w:pPr>
              <w:pStyle w:val="TableBlock"/>
              <w:numPr>
                <w:ilvl w:val="0"/>
                <w:numId w:val="37"/>
              </w:numPr>
              <w:tabs>
                <w:tab w:val="left" w:pos="624"/>
              </w:tabs>
              <w:rPr>
                <w:sz w:val="26"/>
                <w:rtl/>
              </w:rPr>
            </w:pPr>
            <w:r w:rsidRPr="00C744C7">
              <w:rPr>
                <w:rFonts w:hint="cs"/>
                <w:sz w:val="26"/>
                <w:rtl/>
              </w:rPr>
              <w:t>ה</w:t>
            </w:r>
            <w:r w:rsidRPr="00C744C7">
              <w:rPr>
                <w:sz w:val="26"/>
                <w:rtl/>
              </w:rPr>
              <w:t xml:space="preserve">אחראי על בירור תלונות רשאי להמליץ לשר </w:t>
            </w:r>
            <w:r w:rsidR="00E12C14" w:rsidRPr="00C744C7">
              <w:rPr>
                <w:sz w:val="26"/>
                <w:rtl/>
              </w:rPr>
              <w:t xml:space="preserve">הממונה על ביצוע </w:t>
            </w:r>
            <w:r w:rsidR="00E12C14">
              <w:rPr>
                <w:rFonts w:hint="cs"/>
                <w:sz w:val="26"/>
                <w:rtl/>
              </w:rPr>
              <w:t>ה</w:t>
            </w:r>
            <w:r w:rsidR="00E12C14" w:rsidRPr="00C744C7">
              <w:rPr>
                <w:sz w:val="26"/>
                <w:rtl/>
              </w:rPr>
              <w:t xml:space="preserve">חיקוק שמכוחו מוקם </w:t>
            </w:r>
            <w:r w:rsidR="00E12C14">
              <w:rPr>
                <w:rFonts w:hint="cs"/>
                <w:sz w:val="26"/>
                <w:rtl/>
              </w:rPr>
              <w:t>הגוף הרלוונטי</w:t>
            </w:r>
            <w:r w:rsidR="00E12C14" w:rsidRPr="00C744C7" w:rsidDel="00E12C14">
              <w:rPr>
                <w:rFonts w:hint="cs"/>
                <w:sz w:val="26"/>
                <w:rtl/>
              </w:rPr>
              <w:t xml:space="preserve"> </w:t>
            </w:r>
            <w:r w:rsidRPr="00C744C7">
              <w:rPr>
                <w:sz w:val="26"/>
                <w:rtl/>
              </w:rPr>
              <w:t xml:space="preserve">לתת </w:t>
            </w:r>
            <w:r w:rsidRPr="00C744C7">
              <w:rPr>
                <w:rFonts w:hint="cs"/>
                <w:sz w:val="26"/>
                <w:rtl/>
              </w:rPr>
              <w:t>לדיין</w:t>
            </w:r>
            <w:r w:rsidRPr="00C744C7">
              <w:rPr>
                <w:sz w:val="26"/>
                <w:rtl/>
              </w:rPr>
              <w:t xml:space="preserve"> נזיפה או התראה, לבטל את מינויו של </w:t>
            </w:r>
            <w:r w:rsidR="00E12C14">
              <w:rPr>
                <w:rFonts w:hint="cs"/>
                <w:sz w:val="26"/>
                <w:rtl/>
              </w:rPr>
              <w:t xml:space="preserve">הגורם </w:t>
            </w:r>
            <w:proofErr w:type="spellStart"/>
            <w:r w:rsidR="00E12C14">
              <w:rPr>
                <w:rFonts w:hint="cs"/>
                <w:sz w:val="26"/>
                <w:rtl/>
              </w:rPr>
              <w:t>הנילון</w:t>
            </w:r>
            <w:proofErr w:type="spellEnd"/>
            <w:r w:rsidRPr="00C744C7">
              <w:rPr>
                <w:sz w:val="26"/>
                <w:rtl/>
              </w:rPr>
              <w:t xml:space="preserve">, להתלות את מינויו עד לקיום תנאים שיורה עליהם, להגביל את חברותו </w:t>
            </w:r>
            <w:r w:rsidRPr="00C744C7">
              <w:rPr>
                <w:rFonts w:hint="cs"/>
                <w:sz w:val="26"/>
                <w:rtl/>
              </w:rPr>
              <w:t xml:space="preserve">בבית דין </w:t>
            </w:r>
            <w:proofErr w:type="spellStart"/>
            <w:r w:rsidRPr="00C744C7">
              <w:rPr>
                <w:rFonts w:hint="cs"/>
                <w:sz w:val="26"/>
                <w:rtl/>
              </w:rPr>
              <w:t>מינהלי</w:t>
            </w:r>
            <w:proofErr w:type="spellEnd"/>
            <w:r w:rsidRPr="00C744C7">
              <w:rPr>
                <w:sz w:val="26"/>
                <w:rtl/>
              </w:rPr>
              <w:t xml:space="preserve"> או להמליץ שלא להאריך את כהונתו</w:t>
            </w:r>
            <w:r w:rsidRPr="00C744C7">
              <w:rPr>
                <w:rFonts w:hint="cs"/>
                <w:sz w:val="26"/>
                <w:rtl/>
              </w:rPr>
              <w:t xml:space="preserve">, </w:t>
            </w:r>
            <w:r w:rsidRPr="00C744C7">
              <w:rPr>
                <w:sz w:val="26"/>
                <w:rtl/>
              </w:rPr>
              <w:t xml:space="preserve">ככל שמדובר בכהונה שניתנת להארכה; לא תינתן המלצה כאמור, אלא לאחר שניתנה </w:t>
            </w:r>
            <w:r w:rsidRPr="00C744C7">
              <w:rPr>
                <w:rFonts w:hint="cs"/>
                <w:sz w:val="26"/>
                <w:rtl/>
              </w:rPr>
              <w:t>לדיין</w:t>
            </w:r>
            <w:r w:rsidRPr="00C744C7">
              <w:rPr>
                <w:sz w:val="26"/>
                <w:rtl/>
              </w:rPr>
              <w:t xml:space="preserve"> הזדמנות לטעון את טענותיו.</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4650" w:type="dxa"/>
          </w:tcPr>
          <w:p w:rsidR="00C42AFA" w:rsidRPr="00C744C7" w:rsidRDefault="00C42AFA" w:rsidP="00E12C14">
            <w:pPr>
              <w:pStyle w:val="TableBlock"/>
              <w:numPr>
                <w:ilvl w:val="0"/>
                <w:numId w:val="37"/>
              </w:numPr>
              <w:tabs>
                <w:tab w:val="left" w:pos="624"/>
              </w:tabs>
              <w:rPr>
                <w:sz w:val="26"/>
                <w:rtl/>
              </w:rPr>
            </w:pPr>
            <w:r w:rsidRPr="00C744C7">
              <w:rPr>
                <w:rFonts w:hint="cs"/>
                <w:sz w:val="26"/>
                <w:rtl/>
              </w:rPr>
              <w:t xml:space="preserve">מצא האחראי על בירור תלונות כי קיים ליקוי, לרבות ליקוי רוחבי, רשאי הוא להצביע על הצורך בתיקונו ועל הדרך הראויה לכך. </w:t>
            </w:r>
            <w:r w:rsidRPr="00C744C7">
              <w:rPr>
                <w:sz w:val="26"/>
                <w:rtl/>
              </w:rPr>
              <w:t xml:space="preserve">התקבלה הודעה על צורך בתיקון ליקוי כאמור יודיע </w:t>
            </w:r>
            <w:proofErr w:type="spellStart"/>
            <w:r w:rsidR="00E12C14">
              <w:rPr>
                <w:rFonts w:hint="cs"/>
                <w:sz w:val="26"/>
                <w:rtl/>
              </w:rPr>
              <w:t>הנילון</w:t>
            </w:r>
            <w:proofErr w:type="spellEnd"/>
            <w:r w:rsidR="00E12C14">
              <w:rPr>
                <w:rFonts w:hint="cs"/>
                <w:sz w:val="26"/>
                <w:rtl/>
              </w:rPr>
              <w:t>,</w:t>
            </w:r>
            <w:r w:rsidRPr="00C744C7">
              <w:rPr>
                <w:sz w:val="26"/>
                <w:rtl/>
              </w:rPr>
              <w:t xml:space="preserve"> </w:t>
            </w:r>
            <w:r w:rsidRPr="00C744C7">
              <w:rPr>
                <w:rFonts w:hint="cs"/>
                <w:sz w:val="26"/>
                <w:rtl/>
              </w:rPr>
              <w:t>ראש בית הדין הרלוונטי</w:t>
            </w:r>
            <w:r w:rsidR="00E12C14">
              <w:rPr>
                <w:rFonts w:hint="cs"/>
                <w:sz w:val="26"/>
                <w:rtl/>
              </w:rPr>
              <w:t xml:space="preserve"> או הגורם האחראי על הגוף </w:t>
            </w:r>
            <w:proofErr w:type="spellStart"/>
            <w:r w:rsidR="00E12C14">
              <w:rPr>
                <w:rFonts w:hint="cs"/>
                <w:sz w:val="26"/>
                <w:rtl/>
              </w:rPr>
              <w:t>עימו</w:t>
            </w:r>
            <w:proofErr w:type="spellEnd"/>
            <w:r w:rsidR="00E12C14">
              <w:rPr>
                <w:rFonts w:hint="cs"/>
                <w:sz w:val="26"/>
                <w:rtl/>
              </w:rPr>
              <w:t xml:space="preserve"> נמנה </w:t>
            </w:r>
            <w:proofErr w:type="spellStart"/>
            <w:r w:rsidR="00E12C14">
              <w:rPr>
                <w:rFonts w:hint="cs"/>
                <w:sz w:val="26"/>
                <w:rtl/>
              </w:rPr>
              <w:t>הנילון</w:t>
            </w:r>
            <w:proofErr w:type="spellEnd"/>
            <w:r w:rsidR="00E12C14">
              <w:rPr>
                <w:rFonts w:hint="cs"/>
                <w:sz w:val="26"/>
                <w:rtl/>
              </w:rPr>
              <w:t>, ככל שאין ראש בית דין רלוונטי</w:t>
            </w:r>
            <w:r w:rsidRPr="00C744C7">
              <w:rPr>
                <w:sz w:val="26"/>
                <w:rtl/>
              </w:rPr>
              <w:t>, ל</w:t>
            </w:r>
            <w:r w:rsidRPr="00C744C7">
              <w:rPr>
                <w:rFonts w:hint="cs"/>
                <w:sz w:val="26"/>
                <w:rtl/>
              </w:rPr>
              <w:t>אחראי על בירור תלונות</w:t>
            </w:r>
            <w:r w:rsidRPr="00C744C7">
              <w:rPr>
                <w:sz w:val="26"/>
                <w:rtl/>
              </w:rPr>
              <w:t xml:space="preserve">, על הצעדים שננקטו לתיקון הליקוי; לא התקבלה הודעה בתוך זמן סביר או שההודעה אינה מניחה את דעתו של </w:t>
            </w:r>
            <w:r w:rsidRPr="00C744C7">
              <w:rPr>
                <w:rFonts w:hint="cs"/>
                <w:sz w:val="26"/>
                <w:rtl/>
              </w:rPr>
              <w:t>האחראי על בירור תלונות</w:t>
            </w:r>
            <w:r w:rsidRPr="00C744C7">
              <w:rPr>
                <w:sz w:val="26"/>
                <w:rtl/>
              </w:rPr>
              <w:t xml:space="preserve">, רשאי הוא להביא את </w:t>
            </w:r>
            <w:proofErr w:type="spellStart"/>
            <w:r w:rsidRPr="00C744C7">
              <w:rPr>
                <w:sz w:val="26"/>
                <w:rtl/>
              </w:rPr>
              <w:t>הענין</w:t>
            </w:r>
            <w:proofErr w:type="spellEnd"/>
            <w:r w:rsidRPr="00C744C7">
              <w:rPr>
                <w:sz w:val="26"/>
                <w:rtl/>
              </w:rPr>
              <w:t xml:space="preserve"> לפני </w:t>
            </w:r>
            <w:r w:rsidR="00E12C14">
              <w:rPr>
                <w:rFonts w:hint="cs"/>
                <w:sz w:val="26"/>
                <w:rtl/>
              </w:rPr>
              <w:t>ה</w:t>
            </w:r>
            <w:r w:rsidR="00E12C14" w:rsidRPr="00C744C7">
              <w:rPr>
                <w:sz w:val="26"/>
                <w:rtl/>
              </w:rPr>
              <w:t xml:space="preserve">שר הממונה על ביצוע </w:t>
            </w:r>
            <w:r w:rsidR="00E12C14">
              <w:rPr>
                <w:rFonts w:hint="cs"/>
                <w:sz w:val="26"/>
                <w:rtl/>
              </w:rPr>
              <w:t>ה</w:t>
            </w:r>
            <w:r w:rsidR="00E12C14" w:rsidRPr="00C744C7">
              <w:rPr>
                <w:sz w:val="26"/>
                <w:rtl/>
              </w:rPr>
              <w:t xml:space="preserve">חיקוק שמכוחו מוקם </w:t>
            </w:r>
            <w:r w:rsidR="00E12C14">
              <w:rPr>
                <w:rFonts w:hint="cs"/>
                <w:sz w:val="26"/>
                <w:rtl/>
              </w:rPr>
              <w:t>הגוף הרלוונטי</w:t>
            </w:r>
            <w:r w:rsidRPr="00C744C7">
              <w:rPr>
                <w:sz w:val="26"/>
                <w:rtl/>
              </w:rPr>
              <w:t>.</w:t>
            </w:r>
          </w:p>
        </w:tc>
      </w:tr>
      <w:tr w:rsidR="00C42AFA">
        <w:trPr>
          <w:cantSplit/>
          <w:trHeight w:val="60"/>
        </w:trPr>
        <w:tc>
          <w:tcPr>
            <w:tcW w:w="1871" w:type="dxa"/>
          </w:tcPr>
          <w:p w:rsidR="00C42AFA" w:rsidRDefault="00C42AFA">
            <w:pPr>
              <w:pStyle w:val="TableSideHeading"/>
            </w:pPr>
          </w:p>
        </w:tc>
        <w:tc>
          <w:tcPr>
            <w:tcW w:w="624" w:type="dxa"/>
          </w:tcPr>
          <w:p w:rsidR="00C42AFA" w:rsidRDefault="00C42AFA">
            <w:pPr>
              <w:pStyle w:val="TableText"/>
            </w:pPr>
          </w:p>
        </w:tc>
        <w:tc>
          <w:tcPr>
            <w:tcW w:w="7146" w:type="dxa"/>
            <w:gridSpan w:val="5"/>
          </w:tcPr>
          <w:p w:rsidR="00C42AFA" w:rsidRPr="00C34DE2" w:rsidRDefault="00C42AFA" w:rsidP="002D01EE">
            <w:pPr>
              <w:pStyle w:val="TableBlock"/>
              <w:numPr>
                <w:ilvl w:val="0"/>
                <w:numId w:val="47"/>
              </w:numPr>
              <w:tabs>
                <w:tab w:val="left" w:pos="624"/>
              </w:tabs>
            </w:pPr>
            <w:r w:rsidRPr="00C744C7">
              <w:rPr>
                <w:rFonts w:hint="cs"/>
                <w:rtl/>
              </w:rPr>
              <w:t>בסעיף 53, אחרי "בתוספת" יבוא "הראשונה".</w:t>
            </w:r>
          </w:p>
        </w:tc>
      </w:tr>
      <w:tr w:rsidR="00C42AFA">
        <w:trPr>
          <w:cantSplit/>
          <w:trHeight w:val="60"/>
        </w:trPr>
        <w:tc>
          <w:tcPr>
            <w:tcW w:w="1871" w:type="dxa"/>
          </w:tcPr>
          <w:p w:rsidR="00C42AFA" w:rsidRDefault="00C42AFA">
            <w:pPr>
              <w:pStyle w:val="TableSideHeading"/>
            </w:pPr>
          </w:p>
        </w:tc>
        <w:tc>
          <w:tcPr>
            <w:tcW w:w="624" w:type="dxa"/>
          </w:tcPr>
          <w:p w:rsidR="00C42AFA" w:rsidRDefault="00C42AFA" w:rsidP="00C42AFA">
            <w:pPr>
              <w:pStyle w:val="TableText"/>
            </w:pPr>
          </w:p>
        </w:tc>
        <w:tc>
          <w:tcPr>
            <w:tcW w:w="7146" w:type="dxa"/>
            <w:gridSpan w:val="5"/>
          </w:tcPr>
          <w:p w:rsidR="00C42AFA" w:rsidRPr="00C744C7" w:rsidRDefault="00C42AFA" w:rsidP="002D01EE">
            <w:pPr>
              <w:pStyle w:val="TableBlock"/>
              <w:numPr>
                <w:ilvl w:val="0"/>
                <w:numId w:val="47"/>
              </w:numPr>
              <w:tabs>
                <w:tab w:val="left" w:pos="624"/>
              </w:tabs>
              <w:rPr>
                <w:rtl/>
              </w:rPr>
            </w:pPr>
            <w:r>
              <w:rPr>
                <w:rFonts w:hint="cs"/>
                <w:rtl/>
              </w:rPr>
              <w:t>בתוספת:</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624" w:type="dxa"/>
          </w:tcPr>
          <w:p w:rsidR="00C42AFA" w:rsidRDefault="00C42AFA" w:rsidP="002D01EE">
            <w:pPr>
              <w:pStyle w:val="TableText"/>
              <w:numPr>
                <w:ilvl w:val="0"/>
                <w:numId w:val="38"/>
              </w:numPr>
              <w:tabs>
                <w:tab w:val="left" w:pos="624"/>
              </w:tabs>
              <w:jc w:val="both"/>
            </w:pPr>
          </w:p>
        </w:tc>
        <w:tc>
          <w:tcPr>
            <w:tcW w:w="5898" w:type="dxa"/>
            <w:gridSpan w:val="3"/>
          </w:tcPr>
          <w:p w:rsidR="00C42AFA" w:rsidRDefault="00C42AFA" w:rsidP="00C42AFA">
            <w:pPr>
              <w:pStyle w:val="TableBlock"/>
            </w:pPr>
            <w:r>
              <w:rPr>
                <w:rFonts w:hint="cs"/>
                <w:rtl/>
              </w:rPr>
              <w:t>במקום "התוספת" יבוא "התוספת הראשונה";</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624" w:type="dxa"/>
          </w:tcPr>
          <w:p w:rsidR="00C42AFA" w:rsidRDefault="00C42AFA" w:rsidP="002D01EE">
            <w:pPr>
              <w:pStyle w:val="TableText"/>
              <w:numPr>
                <w:ilvl w:val="0"/>
                <w:numId w:val="38"/>
              </w:numPr>
              <w:tabs>
                <w:tab w:val="left" w:pos="624"/>
              </w:tabs>
              <w:jc w:val="both"/>
            </w:pPr>
          </w:p>
        </w:tc>
        <w:tc>
          <w:tcPr>
            <w:tcW w:w="5898" w:type="dxa"/>
            <w:gridSpan w:val="3"/>
          </w:tcPr>
          <w:p w:rsidR="00C42AFA" w:rsidRDefault="00C42AFA" w:rsidP="00C42AFA">
            <w:pPr>
              <w:pStyle w:val="TableBlock"/>
              <w:rPr>
                <w:rtl/>
              </w:rPr>
            </w:pPr>
            <w:r w:rsidRPr="005479A2">
              <w:rPr>
                <w:rFonts w:hint="eastAsia"/>
                <w:rtl/>
              </w:rPr>
              <w:t>בסופה</w:t>
            </w:r>
            <w:r w:rsidRPr="005479A2">
              <w:rPr>
                <w:rtl/>
              </w:rPr>
              <w:t xml:space="preserve">, </w:t>
            </w:r>
            <w:r w:rsidRPr="005479A2">
              <w:rPr>
                <w:rFonts w:hint="eastAsia"/>
                <w:rtl/>
              </w:rPr>
              <w:t>יבוא</w:t>
            </w:r>
            <w:r>
              <w:rPr>
                <w:rtl/>
              </w:rPr>
              <w:t>:</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624" w:type="dxa"/>
          </w:tcPr>
          <w:p w:rsidR="00C42AFA" w:rsidRDefault="00C42AFA" w:rsidP="00C42AFA">
            <w:pPr>
              <w:pStyle w:val="TableText"/>
              <w:jc w:val="both"/>
            </w:pPr>
          </w:p>
        </w:tc>
        <w:tc>
          <w:tcPr>
            <w:tcW w:w="5898" w:type="dxa"/>
            <w:gridSpan w:val="3"/>
          </w:tcPr>
          <w:p w:rsidR="00C42AFA" w:rsidRPr="005479A2" w:rsidRDefault="00C42AFA" w:rsidP="00C42AFA">
            <w:pPr>
              <w:pStyle w:val="TableBlock"/>
              <w:rPr>
                <w:rtl/>
              </w:rPr>
            </w:pPr>
            <w:r>
              <w:rPr>
                <w:rFonts w:hint="cs"/>
                <w:rtl/>
              </w:rPr>
              <w:t>"30</w:t>
            </w:r>
            <w:r w:rsidRPr="005479A2">
              <w:rPr>
                <w:rtl/>
              </w:rPr>
              <w:t xml:space="preserve">. </w:t>
            </w:r>
            <w:r w:rsidRPr="005479A2">
              <w:rPr>
                <w:rFonts w:hint="eastAsia"/>
                <w:rtl/>
              </w:rPr>
              <w:t>בית</w:t>
            </w:r>
            <w:r w:rsidRPr="005479A2">
              <w:rPr>
                <w:rtl/>
              </w:rPr>
              <w:t xml:space="preserve"> </w:t>
            </w:r>
            <w:r w:rsidRPr="005479A2">
              <w:rPr>
                <w:rFonts w:hint="eastAsia"/>
                <w:rtl/>
              </w:rPr>
              <w:t>דין</w:t>
            </w:r>
            <w:r w:rsidRPr="005479A2">
              <w:rPr>
                <w:rtl/>
              </w:rPr>
              <w:t xml:space="preserve"> </w:t>
            </w:r>
            <w:r w:rsidRPr="005479A2">
              <w:rPr>
                <w:rFonts w:hint="eastAsia"/>
                <w:rtl/>
              </w:rPr>
              <w:t>לתעבורה</w:t>
            </w:r>
            <w:r w:rsidRPr="005479A2">
              <w:rPr>
                <w:rtl/>
              </w:rPr>
              <w:t xml:space="preserve"> </w:t>
            </w:r>
            <w:r w:rsidRPr="005479A2">
              <w:rPr>
                <w:rFonts w:hint="eastAsia"/>
                <w:rtl/>
              </w:rPr>
              <w:t>לפי</w:t>
            </w:r>
            <w:r w:rsidRPr="005479A2">
              <w:rPr>
                <w:rtl/>
              </w:rPr>
              <w:t xml:space="preserve"> </w:t>
            </w:r>
            <w:r w:rsidRPr="005479A2">
              <w:rPr>
                <w:rFonts w:hint="eastAsia"/>
                <w:rtl/>
              </w:rPr>
              <w:t>חוק</w:t>
            </w:r>
            <w:r w:rsidRPr="005479A2">
              <w:rPr>
                <w:rtl/>
              </w:rPr>
              <w:t xml:space="preserve"> </w:t>
            </w:r>
            <w:r w:rsidRPr="005479A2">
              <w:rPr>
                <w:rFonts w:hint="eastAsia"/>
                <w:rtl/>
              </w:rPr>
              <w:t>הפרות</w:t>
            </w:r>
            <w:r w:rsidRPr="005479A2">
              <w:rPr>
                <w:rtl/>
              </w:rPr>
              <w:t xml:space="preserve"> </w:t>
            </w:r>
            <w:r w:rsidRPr="005479A2">
              <w:rPr>
                <w:rFonts w:hint="eastAsia"/>
                <w:rtl/>
              </w:rPr>
              <w:t>תעבורה</w:t>
            </w:r>
            <w:r w:rsidRPr="005479A2">
              <w:rPr>
                <w:rtl/>
              </w:rPr>
              <w:t xml:space="preserve"> </w:t>
            </w:r>
            <w:proofErr w:type="spellStart"/>
            <w:r w:rsidRPr="005479A2">
              <w:rPr>
                <w:rFonts w:hint="eastAsia"/>
                <w:rtl/>
              </w:rPr>
              <w:t>מינהליות</w:t>
            </w:r>
            <w:proofErr w:type="spellEnd"/>
            <w:r w:rsidRPr="005479A2">
              <w:rPr>
                <w:rtl/>
              </w:rPr>
              <w:t xml:space="preserve">, </w:t>
            </w:r>
            <w:r w:rsidRPr="005479A2">
              <w:rPr>
                <w:rFonts w:hint="eastAsia"/>
                <w:rtl/>
              </w:rPr>
              <w:t>התשפ</w:t>
            </w:r>
            <w:r w:rsidRPr="005479A2">
              <w:rPr>
                <w:rtl/>
              </w:rPr>
              <w:t>"א-</w:t>
            </w:r>
            <w:r>
              <w:rPr>
                <w:rFonts w:hint="cs"/>
                <w:rtl/>
              </w:rPr>
              <w:t>2021</w:t>
            </w:r>
            <w:r w:rsidRPr="005479A2">
              <w:rPr>
                <w:rtl/>
              </w:rPr>
              <w:t>".</w:t>
            </w:r>
          </w:p>
        </w:tc>
      </w:tr>
      <w:tr w:rsidR="00C42AFA">
        <w:trPr>
          <w:cantSplit/>
          <w:trHeight w:val="60"/>
        </w:trPr>
        <w:tc>
          <w:tcPr>
            <w:tcW w:w="1871" w:type="dxa"/>
          </w:tcPr>
          <w:p w:rsidR="00C42AFA" w:rsidRDefault="00C42AFA">
            <w:pPr>
              <w:pStyle w:val="TableSideHeading"/>
            </w:pPr>
          </w:p>
        </w:tc>
        <w:tc>
          <w:tcPr>
            <w:tcW w:w="624" w:type="dxa"/>
          </w:tcPr>
          <w:p w:rsidR="00C42AFA" w:rsidRDefault="00C42AFA">
            <w:pPr>
              <w:pStyle w:val="TableText"/>
            </w:pPr>
          </w:p>
        </w:tc>
        <w:tc>
          <w:tcPr>
            <w:tcW w:w="7146" w:type="dxa"/>
            <w:gridSpan w:val="5"/>
          </w:tcPr>
          <w:p w:rsidR="00C42AFA" w:rsidRPr="00C34DE2" w:rsidRDefault="00C42AFA" w:rsidP="002D01EE">
            <w:pPr>
              <w:pStyle w:val="TableBlock"/>
              <w:numPr>
                <w:ilvl w:val="0"/>
                <w:numId w:val="47"/>
              </w:numPr>
              <w:tabs>
                <w:tab w:val="left" w:pos="624"/>
              </w:tabs>
            </w:pPr>
            <w:r>
              <w:rPr>
                <w:rFonts w:hint="cs"/>
                <w:rtl/>
              </w:rPr>
              <w:t xml:space="preserve">אחרי התוספת לחוק בתי דין </w:t>
            </w:r>
            <w:proofErr w:type="spellStart"/>
            <w:r>
              <w:rPr>
                <w:rFonts w:hint="cs"/>
                <w:rtl/>
              </w:rPr>
              <w:t>מינהליים</w:t>
            </w:r>
            <w:proofErr w:type="spellEnd"/>
            <w:r>
              <w:rPr>
                <w:rFonts w:hint="cs"/>
                <w:rtl/>
              </w:rPr>
              <w:t xml:space="preserve"> יבוא:</w:t>
            </w:r>
          </w:p>
        </w:tc>
      </w:tr>
      <w:tr w:rsidR="00C42AFA">
        <w:trPr>
          <w:cantSplit/>
          <w:trHeight w:val="60"/>
        </w:trPr>
        <w:tc>
          <w:tcPr>
            <w:tcW w:w="1871" w:type="dxa"/>
          </w:tcPr>
          <w:p w:rsidR="00C42AFA" w:rsidRDefault="00C42AFA">
            <w:pPr>
              <w:pStyle w:val="TableSideHeading"/>
            </w:pPr>
          </w:p>
        </w:tc>
        <w:tc>
          <w:tcPr>
            <w:tcW w:w="624" w:type="dxa"/>
          </w:tcPr>
          <w:p w:rsidR="00C42AFA" w:rsidRDefault="00C42AFA" w:rsidP="00C42AFA">
            <w:pPr>
              <w:pStyle w:val="TableText"/>
            </w:pPr>
          </w:p>
        </w:tc>
        <w:tc>
          <w:tcPr>
            <w:tcW w:w="7146" w:type="dxa"/>
            <w:gridSpan w:val="5"/>
          </w:tcPr>
          <w:p w:rsidR="00C42AFA" w:rsidRPr="00C42AFA" w:rsidRDefault="00C42AFA" w:rsidP="00C42AFA">
            <w:pPr>
              <w:pStyle w:val="TableHead"/>
              <w:outlineLvl w:val="9"/>
              <w:rPr>
                <w:rtl/>
              </w:rPr>
            </w:pPr>
            <w:bookmarkStart w:id="88" w:name="_Toc74773923"/>
            <w:bookmarkStart w:id="89" w:name="_Toc75433168"/>
            <w:r w:rsidRPr="00C42AFA">
              <w:rPr>
                <w:rFonts w:hint="cs"/>
                <w:rtl/>
              </w:rPr>
              <w:t>"תוספת שנייה</w:t>
            </w:r>
            <w:bookmarkEnd w:id="88"/>
            <w:bookmarkEnd w:id="89"/>
          </w:p>
        </w:tc>
      </w:tr>
      <w:tr w:rsidR="00C42AFA">
        <w:trPr>
          <w:cantSplit/>
          <w:trHeight w:val="60"/>
        </w:trPr>
        <w:tc>
          <w:tcPr>
            <w:tcW w:w="1871" w:type="dxa"/>
          </w:tcPr>
          <w:p w:rsidR="00C42AFA" w:rsidRDefault="00C42AFA">
            <w:pPr>
              <w:pStyle w:val="TableSideHeading"/>
            </w:pPr>
          </w:p>
        </w:tc>
        <w:tc>
          <w:tcPr>
            <w:tcW w:w="624" w:type="dxa"/>
          </w:tcPr>
          <w:p w:rsidR="00C42AFA" w:rsidRDefault="00C42AFA" w:rsidP="00C42AFA">
            <w:pPr>
              <w:pStyle w:val="TableText"/>
            </w:pPr>
          </w:p>
        </w:tc>
        <w:tc>
          <w:tcPr>
            <w:tcW w:w="7146" w:type="dxa"/>
            <w:gridSpan w:val="5"/>
          </w:tcPr>
          <w:p w:rsidR="00C42AFA" w:rsidRPr="00C42AFA" w:rsidRDefault="00C42AFA" w:rsidP="00C42AFA">
            <w:pPr>
              <w:pStyle w:val="TableHead"/>
              <w:outlineLvl w:val="9"/>
              <w:rPr>
                <w:b w:val="0"/>
                <w:bCs w:val="0"/>
                <w:rtl/>
              </w:rPr>
            </w:pPr>
            <w:bookmarkStart w:id="90" w:name="_Toc74773924"/>
            <w:bookmarkStart w:id="91" w:name="_Toc75433169"/>
            <w:r w:rsidRPr="00C42AFA">
              <w:rPr>
                <w:rFonts w:hint="cs"/>
                <w:b w:val="0"/>
                <w:bCs w:val="0"/>
                <w:rtl/>
              </w:rPr>
              <w:t>(סעיף 14א)</w:t>
            </w:r>
            <w:bookmarkEnd w:id="90"/>
            <w:bookmarkEnd w:id="91"/>
          </w:p>
        </w:tc>
      </w:tr>
      <w:tr w:rsidR="00C42AFA">
        <w:trPr>
          <w:cantSplit/>
          <w:trHeight w:val="60"/>
        </w:trPr>
        <w:tc>
          <w:tcPr>
            <w:tcW w:w="1871" w:type="dxa"/>
          </w:tcPr>
          <w:p w:rsidR="00C42AFA" w:rsidRDefault="00C42AFA">
            <w:pPr>
              <w:pStyle w:val="TableSideHeading"/>
            </w:pPr>
          </w:p>
        </w:tc>
        <w:tc>
          <w:tcPr>
            <w:tcW w:w="624" w:type="dxa"/>
          </w:tcPr>
          <w:p w:rsidR="00C42AFA" w:rsidRDefault="00C42AFA">
            <w:pPr>
              <w:pStyle w:val="TableText"/>
            </w:pPr>
          </w:p>
        </w:tc>
        <w:tc>
          <w:tcPr>
            <w:tcW w:w="624" w:type="dxa"/>
          </w:tcPr>
          <w:p w:rsidR="00C42AFA" w:rsidRDefault="00C42AFA">
            <w:pPr>
              <w:pStyle w:val="TableText"/>
            </w:pPr>
          </w:p>
        </w:tc>
        <w:tc>
          <w:tcPr>
            <w:tcW w:w="6522" w:type="dxa"/>
            <w:gridSpan w:val="4"/>
          </w:tcPr>
          <w:p w:rsidR="00C42AFA" w:rsidRDefault="00C42AFA" w:rsidP="002D01EE">
            <w:pPr>
              <w:pStyle w:val="TableBlock"/>
              <w:numPr>
                <w:ilvl w:val="0"/>
                <w:numId w:val="48"/>
              </w:numPr>
              <w:tabs>
                <w:tab w:val="clear" w:pos="624"/>
                <w:tab w:val="left" w:pos="432"/>
              </w:tabs>
              <w:ind w:left="432"/>
            </w:pPr>
            <w:r>
              <w:rPr>
                <w:rFonts w:hint="cs"/>
                <w:rtl/>
              </w:rPr>
              <w:t xml:space="preserve">בית </w:t>
            </w:r>
            <w:r w:rsidRPr="005479A2">
              <w:rPr>
                <w:rFonts w:hint="eastAsia"/>
                <w:rtl/>
              </w:rPr>
              <w:t>דין</w:t>
            </w:r>
            <w:r w:rsidRPr="005479A2">
              <w:rPr>
                <w:rtl/>
              </w:rPr>
              <w:t xml:space="preserve"> </w:t>
            </w:r>
            <w:r w:rsidRPr="005479A2">
              <w:rPr>
                <w:rFonts w:hint="eastAsia"/>
                <w:rtl/>
              </w:rPr>
              <w:t>לתעבורה</w:t>
            </w:r>
            <w:r w:rsidRPr="005479A2">
              <w:rPr>
                <w:rtl/>
              </w:rPr>
              <w:t xml:space="preserve"> </w:t>
            </w:r>
            <w:r w:rsidRPr="005479A2">
              <w:rPr>
                <w:rFonts w:hint="eastAsia"/>
                <w:rtl/>
              </w:rPr>
              <w:t>לפי</w:t>
            </w:r>
            <w:r w:rsidRPr="005479A2">
              <w:rPr>
                <w:rtl/>
              </w:rPr>
              <w:t xml:space="preserve"> </w:t>
            </w:r>
            <w:r w:rsidRPr="005479A2">
              <w:rPr>
                <w:rFonts w:hint="eastAsia"/>
                <w:rtl/>
              </w:rPr>
              <w:t>חוק</w:t>
            </w:r>
            <w:r w:rsidRPr="005479A2">
              <w:rPr>
                <w:rtl/>
              </w:rPr>
              <w:t xml:space="preserve"> </w:t>
            </w:r>
            <w:r w:rsidRPr="005479A2">
              <w:rPr>
                <w:rFonts w:hint="eastAsia"/>
                <w:rtl/>
              </w:rPr>
              <w:t>הפרות</w:t>
            </w:r>
            <w:r w:rsidRPr="005479A2">
              <w:rPr>
                <w:rtl/>
              </w:rPr>
              <w:t xml:space="preserve"> </w:t>
            </w:r>
            <w:r w:rsidRPr="005479A2">
              <w:rPr>
                <w:rFonts w:hint="eastAsia"/>
                <w:rtl/>
              </w:rPr>
              <w:t>תעבורה</w:t>
            </w:r>
            <w:r w:rsidRPr="005479A2">
              <w:rPr>
                <w:rtl/>
              </w:rPr>
              <w:t xml:space="preserve"> </w:t>
            </w:r>
            <w:proofErr w:type="spellStart"/>
            <w:r w:rsidRPr="005479A2">
              <w:rPr>
                <w:rFonts w:hint="eastAsia"/>
                <w:rtl/>
              </w:rPr>
              <w:t>מינהליות</w:t>
            </w:r>
            <w:proofErr w:type="spellEnd"/>
            <w:r w:rsidRPr="005479A2">
              <w:rPr>
                <w:rtl/>
              </w:rPr>
              <w:t xml:space="preserve">, </w:t>
            </w:r>
            <w:r w:rsidRPr="005479A2">
              <w:rPr>
                <w:rFonts w:hint="eastAsia"/>
                <w:rtl/>
              </w:rPr>
              <w:t>התשפ</w:t>
            </w:r>
            <w:r w:rsidRPr="005479A2">
              <w:rPr>
                <w:rtl/>
              </w:rPr>
              <w:t>"א-</w:t>
            </w:r>
            <w:r>
              <w:rPr>
                <w:rFonts w:hint="cs"/>
                <w:rtl/>
              </w:rPr>
              <w:t>2021.</w:t>
            </w:r>
            <w:r w:rsidRPr="005479A2">
              <w:rPr>
                <w:rtl/>
              </w:rPr>
              <w:t>".</w:t>
            </w:r>
          </w:p>
        </w:tc>
      </w:tr>
      <w:tr w:rsidR="00C42AFA">
        <w:trPr>
          <w:cantSplit/>
          <w:trHeight w:val="60"/>
        </w:trPr>
        <w:tc>
          <w:tcPr>
            <w:tcW w:w="1871" w:type="dxa"/>
          </w:tcPr>
          <w:p w:rsidR="00C42AFA" w:rsidRDefault="00C42AFA" w:rsidP="00C42AFA">
            <w:pPr>
              <w:pStyle w:val="TableSideHeading"/>
              <w:keepLines w:val="0"/>
            </w:pPr>
            <w:bookmarkStart w:id="92" w:name="_Toc74773793"/>
            <w:bookmarkStart w:id="93" w:name="_Toc75433170"/>
            <w:r>
              <w:rPr>
                <w:rFonts w:hint="cs"/>
                <w:rtl/>
              </w:rPr>
              <w:t xml:space="preserve">תיקון חוק בתי משפט </w:t>
            </w:r>
            <w:proofErr w:type="spellStart"/>
            <w:r>
              <w:rPr>
                <w:rFonts w:hint="cs"/>
                <w:rtl/>
              </w:rPr>
              <w:t>לענינים</w:t>
            </w:r>
            <w:proofErr w:type="spellEnd"/>
            <w:r>
              <w:rPr>
                <w:rFonts w:hint="cs"/>
                <w:rtl/>
              </w:rPr>
              <w:t xml:space="preserve"> </w:t>
            </w:r>
            <w:proofErr w:type="spellStart"/>
            <w:r>
              <w:rPr>
                <w:rFonts w:hint="cs"/>
                <w:rtl/>
              </w:rPr>
              <w:t>מינהליים</w:t>
            </w:r>
            <w:bookmarkEnd w:id="92"/>
            <w:bookmarkEnd w:id="93"/>
            <w:proofErr w:type="spellEnd"/>
          </w:p>
        </w:tc>
        <w:tc>
          <w:tcPr>
            <w:tcW w:w="624" w:type="dxa"/>
          </w:tcPr>
          <w:p w:rsidR="00C42AFA" w:rsidRDefault="00C42AFA" w:rsidP="00C42AFA">
            <w:pPr>
              <w:pStyle w:val="TableText"/>
              <w:keepLines w:val="0"/>
              <w:numPr>
                <w:ilvl w:val="0"/>
                <w:numId w:val="3"/>
              </w:numPr>
            </w:pPr>
          </w:p>
        </w:tc>
        <w:tc>
          <w:tcPr>
            <w:tcW w:w="7146" w:type="dxa"/>
            <w:gridSpan w:val="5"/>
          </w:tcPr>
          <w:p w:rsidR="00C42AFA" w:rsidRPr="00C34DE2" w:rsidRDefault="00C42AFA" w:rsidP="00C42AFA">
            <w:pPr>
              <w:pStyle w:val="TableBlock"/>
              <w:keepLines w:val="0"/>
            </w:pPr>
            <w:r w:rsidRPr="004E034A">
              <w:rPr>
                <w:rFonts w:hint="cs"/>
                <w:rtl/>
              </w:rPr>
              <w:t xml:space="preserve">בתוספת </w:t>
            </w:r>
            <w:proofErr w:type="spellStart"/>
            <w:r w:rsidRPr="004E034A">
              <w:rPr>
                <w:rFonts w:hint="cs"/>
                <w:rtl/>
              </w:rPr>
              <w:t>השניה</w:t>
            </w:r>
            <w:proofErr w:type="spellEnd"/>
            <w:r w:rsidRPr="004E034A">
              <w:rPr>
                <w:rFonts w:hint="cs"/>
                <w:rtl/>
              </w:rPr>
              <w:t xml:space="preserve"> לחוק בתי משפט </w:t>
            </w:r>
            <w:proofErr w:type="spellStart"/>
            <w:r w:rsidRPr="004E034A">
              <w:rPr>
                <w:rFonts w:hint="cs"/>
                <w:rtl/>
              </w:rPr>
              <w:t>לענינים</w:t>
            </w:r>
            <w:proofErr w:type="spellEnd"/>
            <w:r w:rsidRPr="004E034A">
              <w:rPr>
                <w:rFonts w:hint="cs"/>
                <w:rtl/>
              </w:rPr>
              <w:t xml:space="preserve"> </w:t>
            </w:r>
            <w:proofErr w:type="spellStart"/>
            <w:r w:rsidRPr="004E034A">
              <w:rPr>
                <w:rFonts w:hint="cs"/>
                <w:rtl/>
              </w:rPr>
              <w:t>מינהליים</w:t>
            </w:r>
            <w:proofErr w:type="spellEnd"/>
            <w:r w:rsidRPr="004E034A">
              <w:rPr>
                <w:rFonts w:hint="cs"/>
                <w:rtl/>
              </w:rPr>
              <w:t>, התש"ס-2000,</w:t>
            </w:r>
            <w:r w:rsidRPr="004E034A">
              <w:rPr>
                <w:rStyle w:val="a9"/>
                <w:rtl/>
              </w:rPr>
              <w:footnoteReference w:id="18"/>
            </w:r>
            <w:r w:rsidRPr="004E034A">
              <w:rPr>
                <w:rFonts w:hint="cs"/>
                <w:rtl/>
              </w:rPr>
              <w:t xml:space="preserve"> בסופה, יבוא: "29. ערעור לפי סעיף</w:t>
            </w:r>
            <w:r w:rsidRPr="004E034A">
              <w:rPr>
                <w:rtl/>
              </w:rPr>
              <w:t xml:space="preserve"> </w:t>
            </w:r>
            <w:r w:rsidRPr="004E034A">
              <w:rPr>
                <w:rFonts w:hint="cs"/>
                <w:rtl/>
              </w:rPr>
              <w:t>19 לחוק</w:t>
            </w:r>
            <w:r w:rsidRPr="004E034A">
              <w:rPr>
                <w:rtl/>
              </w:rPr>
              <w:t xml:space="preserve"> </w:t>
            </w:r>
            <w:r w:rsidRPr="004E034A">
              <w:rPr>
                <w:rFonts w:hint="cs"/>
                <w:rtl/>
              </w:rPr>
              <w:t>הפרות</w:t>
            </w:r>
            <w:r w:rsidRPr="004E034A">
              <w:rPr>
                <w:rtl/>
              </w:rPr>
              <w:t xml:space="preserve"> </w:t>
            </w:r>
            <w:r w:rsidRPr="004E034A">
              <w:rPr>
                <w:rFonts w:hint="cs"/>
                <w:rtl/>
              </w:rPr>
              <w:t>תעבורה</w:t>
            </w:r>
            <w:r w:rsidRPr="004E034A">
              <w:rPr>
                <w:rtl/>
              </w:rPr>
              <w:t xml:space="preserve"> </w:t>
            </w:r>
            <w:proofErr w:type="spellStart"/>
            <w:r w:rsidRPr="004E034A">
              <w:rPr>
                <w:rFonts w:hint="cs"/>
                <w:rtl/>
              </w:rPr>
              <w:t>מינהליות</w:t>
            </w:r>
            <w:proofErr w:type="spellEnd"/>
            <w:r w:rsidRPr="004E034A">
              <w:rPr>
                <w:rtl/>
              </w:rPr>
              <w:t xml:space="preserve">, </w:t>
            </w:r>
            <w:r w:rsidRPr="004E034A">
              <w:rPr>
                <w:rFonts w:hint="cs"/>
                <w:rtl/>
              </w:rPr>
              <w:t>התשפ</w:t>
            </w:r>
            <w:r w:rsidRPr="004E034A">
              <w:rPr>
                <w:rtl/>
              </w:rPr>
              <w:t>"א-2020</w:t>
            </w:r>
            <w:r w:rsidRPr="004E034A">
              <w:rPr>
                <w:rFonts w:hint="cs"/>
                <w:rtl/>
              </w:rPr>
              <w:t>, אם</w:t>
            </w:r>
            <w:r w:rsidRPr="004E034A">
              <w:rPr>
                <w:rtl/>
              </w:rPr>
              <w:t xml:space="preserve"> ניתנה לכך רשות </w:t>
            </w:r>
            <w:r w:rsidRPr="004E034A">
              <w:rPr>
                <w:rFonts w:hint="cs"/>
                <w:rtl/>
              </w:rPr>
              <w:t>מאת</w:t>
            </w:r>
            <w:r w:rsidRPr="004E034A">
              <w:rPr>
                <w:rtl/>
              </w:rPr>
              <w:t xml:space="preserve"> </w:t>
            </w:r>
            <w:r w:rsidRPr="004E034A">
              <w:rPr>
                <w:rFonts w:hint="cs"/>
                <w:rtl/>
              </w:rPr>
              <w:t>שופט</w:t>
            </w:r>
            <w:r w:rsidRPr="004E034A">
              <w:rPr>
                <w:rtl/>
              </w:rPr>
              <w:t xml:space="preserve"> </w:t>
            </w:r>
            <w:r w:rsidRPr="004E034A">
              <w:rPr>
                <w:rFonts w:hint="cs"/>
                <w:rtl/>
              </w:rPr>
              <w:t>של</w:t>
            </w:r>
            <w:r w:rsidRPr="004E034A">
              <w:rPr>
                <w:rtl/>
              </w:rPr>
              <w:t xml:space="preserve"> </w:t>
            </w:r>
            <w:r w:rsidRPr="004E034A">
              <w:rPr>
                <w:rFonts w:hint="cs"/>
                <w:rtl/>
              </w:rPr>
              <w:t>בית</w:t>
            </w:r>
            <w:r w:rsidRPr="004E034A">
              <w:rPr>
                <w:rtl/>
              </w:rPr>
              <w:t xml:space="preserve"> </w:t>
            </w:r>
            <w:r w:rsidRPr="004E034A">
              <w:rPr>
                <w:rFonts w:hint="cs"/>
                <w:rtl/>
              </w:rPr>
              <w:t>משפט</w:t>
            </w:r>
            <w:r w:rsidRPr="004E034A">
              <w:rPr>
                <w:rtl/>
              </w:rPr>
              <w:t xml:space="preserve"> </w:t>
            </w:r>
            <w:r w:rsidRPr="004E034A">
              <w:rPr>
                <w:rFonts w:hint="cs"/>
                <w:rtl/>
              </w:rPr>
              <w:t>מחוזי</w:t>
            </w:r>
            <w:r w:rsidRPr="004E034A">
              <w:rPr>
                <w:rtl/>
              </w:rPr>
              <w:t xml:space="preserve"> בשבתו כבית משפט </w:t>
            </w:r>
            <w:proofErr w:type="spellStart"/>
            <w:r w:rsidRPr="004E034A">
              <w:rPr>
                <w:rFonts w:hint="cs"/>
                <w:rtl/>
              </w:rPr>
              <w:t>לענינים</w:t>
            </w:r>
            <w:proofErr w:type="spellEnd"/>
            <w:r w:rsidRPr="004E034A">
              <w:rPr>
                <w:rtl/>
              </w:rPr>
              <w:t xml:space="preserve"> </w:t>
            </w:r>
            <w:proofErr w:type="spellStart"/>
            <w:r w:rsidRPr="004E034A">
              <w:rPr>
                <w:rFonts w:hint="cs"/>
                <w:rtl/>
              </w:rPr>
              <w:t>מינהליים</w:t>
            </w:r>
            <w:proofErr w:type="spellEnd"/>
            <w:r w:rsidRPr="004E034A">
              <w:rPr>
                <w:rFonts w:hint="cs"/>
                <w:rtl/>
              </w:rPr>
              <w:t>".</w:t>
            </w:r>
          </w:p>
        </w:tc>
      </w:tr>
      <w:tr w:rsidR="00C42AFA">
        <w:trPr>
          <w:cantSplit/>
          <w:trHeight w:val="60"/>
        </w:trPr>
        <w:tc>
          <w:tcPr>
            <w:tcW w:w="1871" w:type="dxa"/>
          </w:tcPr>
          <w:p w:rsidR="00C42AFA" w:rsidRDefault="00C42AFA" w:rsidP="00C42AFA">
            <w:pPr>
              <w:pStyle w:val="TableSideHeading"/>
              <w:keepLines w:val="0"/>
            </w:pPr>
            <w:bookmarkStart w:id="94" w:name="_Toc74773794"/>
            <w:bookmarkStart w:id="95" w:name="_Toc75433171"/>
            <w:r>
              <w:rPr>
                <w:rFonts w:hint="cs"/>
                <w:rtl/>
              </w:rPr>
              <w:t>תיקון חוק סדר הדין הפלילי [נוסח משולב]</w:t>
            </w:r>
            <w:bookmarkEnd w:id="94"/>
            <w:bookmarkEnd w:id="95"/>
          </w:p>
        </w:tc>
        <w:tc>
          <w:tcPr>
            <w:tcW w:w="624" w:type="dxa"/>
          </w:tcPr>
          <w:p w:rsidR="00C42AFA" w:rsidRDefault="00C42AFA" w:rsidP="00C42AFA">
            <w:pPr>
              <w:pStyle w:val="TableText"/>
              <w:keepLines w:val="0"/>
              <w:numPr>
                <w:ilvl w:val="0"/>
                <w:numId w:val="3"/>
              </w:numPr>
            </w:pPr>
          </w:p>
        </w:tc>
        <w:tc>
          <w:tcPr>
            <w:tcW w:w="7146" w:type="dxa"/>
            <w:gridSpan w:val="5"/>
          </w:tcPr>
          <w:p w:rsidR="00C42AFA" w:rsidRPr="00C34DE2" w:rsidRDefault="00C42AFA" w:rsidP="00C42AFA">
            <w:pPr>
              <w:pStyle w:val="TableBlock"/>
              <w:keepLines w:val="0"/>
            </w:pPr>
            <w:r w:rsidRPr="001859A8">
              <w:rPr>
                <w:rFonts w:hint="eastAsia"/>
                <w:rtl/>
              </w:rPr>
              <w:t>בחוק</w:t>
            </w:r>
            <w:r w:rsidRPr="001859A8">
              <w:rPr>
                <w:rtl/>
              </w:rPr>
              <w:t xml:space="preserve"> </w:t>
            </w:r>
            <w:r w:rsidRPr="001859A8">
              <w:rPr>
                <w:rFonts w:hint="eastAsia"/>
                <w:rtl/>
              </w:rPr>
              <w:t>סדר</w:t>
            </w:r>
            <w:r w:rsidRPr="001859A8">
              <w:rPr>
                <w:rtl/>
              </w:rPr>
              <w:t xml:space="preserve"> </w:t>
            </w:r>
            <w:r w:rsidRPr="001859A8">
              <w:rPr>
                <w:rFonts w:hint="eastAsia"/>
                <w:rtl/>
              </w:rPr>
              <w:t>הדין</w:t>
            </w:r>
            <w:r w:rsidRPr="001859A8">
              <w:rPr>
                <w:rtl/>
              </w:rPr>
              <w:t xml:space="preserve"> </w:t>
            </w:r>
            <w:r w:rsidRPr="001859A8">
              <w:rPr>
                <w:rFonts w:hint="eastAsia"/>
                <w:rtl/>
              </w:rPr>
              <w:t>הפלילי</w:t>
            </w:r>
            <w:r w:rsidRPr="001859A8">
              <w:rPr>
                <w:rtl/>
              </w:rPr>
              <w:t>, בסעיף 225א</w:t>
            </w:r>
            <w:r>
              <w:rPr>
                <w:rFonts w:hint="cs"/>
                <w:rtl/>
              </w:rPr>
              <w:t xml:space="preserve"> </w:t>
            </w:r>
            <w:r>
              <w:rPr>
                <w:rtl/>
              </w:rPr>
              <w:t>–</w:t>
            </w:r>
            <w:r>
              <w:rPr>
                <w:rFonts w:hint="cs"/>
                <w:rtl/>
              </w:rPr>
              <w:t xml:space="preserve"> </w:t>
            </w:r>
          </w:p>
        </w:tc>
      </w:tr>
      <w:tr w:rsidR="00C42AFA">
        <w:trPr>
          <w:cantSplit/>
          <w:trHeight w:val="60"/>
        </w:trPr>
        <w:tc>
          <w:tcPr>
            <w:tcW w:w="1871" w:type="dxa"/>
          </w:tcPr>
          <w:p w:rsidR="00C42AFA" w:rsidRDefault="00C42AFA" w:rsidP="00C42AFA">
            <w:pPr>
              <w:pStyle w:val="TableSideHeading"/>
              <w:keepLines w:val="0"/>
              <w:rPr>
                <w:rtl/>
              </w:rPr>
            </w:pPr>
          </w:p>
        </w:tc>
        <w:tc>
          <w:tcPr>
            <w:tcW w:w="624" w:type="dxa"/>
          </w:tcPr>
          <w:p w:rsidR="00C42AFA" w:rsidRDefault="00C42AFA" w:rsidP="00C42AFA">
            <w:pPr>
              <w:pStyle w:val="TableText"/>
            </w:pPr>
          </w:p>
        </w:tc>
        <w:tc>
          <w:tcPr>
            <w:tcW w:w="7146" w:type="dxa"/>
            <w:gridSpan w:val="5"/>
          </w:tcPr>
          <w:p w:rsidR="00C42AFA" w:rsidRPr="001859A8" w:rsidRDefault="00C42AFA" w:rsidP="002D01EE">
            <w:pPr>
              <w:pStyle w:val="TableBlock"/>
              <w:numPr>
                <w:ilvl w:val="0"/>
                <w:numId w:val="49"/>
              </w:numPr>
              <w:tabs>
                <w:tab w:val="left" w:pos="624"/>
              </w:tabs>
              <w:rPr>
                <w:rtl/>
              </w:rPr>
            </w:pPr>
            <w:r>
              <w:rPr>
                <w:rFonts w:hint="cs"/>
                <w:rtl/>
              </w:rPr>
              <w:t xml:space="preserve">בסעיף קטן (א1), המילים "או הודעת תשלום קנס" </w:t>
            </w:r>
            <w:r>
              <w:rPr>
                <w:rtl/>
              </w:rPr>
              <w:t>–</w:t>
            </w:r>
            <w:r>
              <w:rPr>
                <w:rFonts w:hint="cs"/>
                <w:rtl/>
              </w:rPr>
              <w:t xml:space="preserve"> ימחקו, וחלף המילים "כתב האישום, ההזמנה" יבוא "כתב האישום או ההזמנה";</w:t>
            </w:r>
          </w:p>
        </w:tc>
      </w:tr>
      <w:tr w:rsidR="00C42AFA">
        <w:trPr>
          <w:cantSplit/>
          <w:trHeight w:val="60"/>
        </w:trPr>
        <w:tc>
          <w:tcPr>
            <w:tcW w:w="1871" w:type="dxa"/>
          </w:tcPr>
          <w:p w:rsidR="00C42AFA" w:rsidRDefault="00C42AFA" w:rsidP="00C42AFA">
            <w:pPr>
              <w:pStyle w:val="TableSideHeading"/>
              <w:keepLines w:val="0"/>
              <w:rPr>
                <w:rtl/>
              </w:rPr>
            </w:pPr>
          </w:p>
        </w:tc>
        <w:tc>
          <w:tcPr>
            <w:tcW w:w="624" w:type="dxa"/>
          </w:tcPr>
          <w:p w:rsidR="00C42AFA" w:rsidRDefault="00C42AFA" w:rsidP="00C42AFA">
            <w:pPr>
              <w:pStyle w:val="TableText"/>
            </w:pPr>
          </w:p>
        </w:tc>
        <w:tc>
          <w:tcPr>
            <w:tcW w:w="7146" w:type="dxa"/>
            <w:gridSpan w:val="5"/>
          </w:tcPr>
          <w:p w:rsidR="00C42AFA" w:rsidRDefault="00C42AFA" w:rsidP="002D01EE">
            <w:pPr>
              <w:pStyle w:val="TableBlock"/>
              <w:numPr>
                <w:ilvl w:val="0"/>
                <w:numId w:val="49"/>
              </w:numPr>
              <w:tabs>
                <w:tab w:val="left" w:pos="624"/>
              </w:tabs>
              <w:rPr>
                <w:rtl/>
              </w:rPr>
            </w:pPr>
            <w:r>
              <w:rPr>
                <w:rFonts w:hint="cs"/>
                <w:rtl/>
              </w:rPr>
              <w:t xml:space="preserve">פסקה 2 בסעיף קטן (א1) </w:t>
            </w:r>
            <w:r>
              <w:rPr>
                <w:rtl/>
              </w:rPr>
              <w:t>–</w:t>
            </w:r>
            <w:r>
              <w:rPr>
                <w:rFonts w:hint="cs"/>
                <w:rtl/>
              </w:rPr>
              <w:t xml:space="preserve"> תמחק;</w:t>
            </w:r>
          </w:p>
        </w:tc>
      </w:tr>
      <w:tr w:rsidR="00C42AFA">
        <w:trPr>
          <w:cantSplit/>
          <w:trHeight w:val="60"/>
        </w:trPr>
        <w:tc>
          <w:tcPr>
            <w:tcW w:w="1871" w:type="dxa"/>
          </w:tcPr>
          <w:p w:rsidR="00C42AFA" w:rsidRDefault="00C42AFA" w:rsidP="00C42AFA">
            <w:pPr>
              <w:pStyle w:val="TableSideHeading"/>
              <w:keepLines w:val="0"/>
              <w:rPr>
                <w:rtl/>
              </w:rPr>
            </w:pPr>
          </w:p>
        </w:tc>
        <w:tc>
          <w:tcPr>
            <w:tcW w:w="624" w:type="dxa"/>
          </w:tcPr>
          <w:p w:rsidR="00C42AFA" w:rsidRDefault="00C42AFA" w:rsidP="00C42AFA">
            <w:pPr>
              <w:pStyle w:val="TableText"/>
            </w:pPr>
          </w:p>
        </w:tc>
        <w:tc>
          <w:tcPr>
            <w:tcW w:w="7146" w:type="dxa"/>
            <w:gridSpan w:val="5"/>
          </w:tcPr>
          <w:p w:rsidR="00C42AFA" w:rsidRDefault="00C42AFA" w:rsidP="002D01EE">
            <w:pPr>
              <w:pStyle w:val="TableBlock"/>
              <w:numPr>
                <w:ilvl w:val="0"/>
                <w:numId w:val="49"/>
              </w:numPr>
              <w:tabs>
                <w:tab w:val="left" w:pos="624"/>
              </w:tabs>
              <w:rPr>
                <w:rtl/>
              </w:rPr>
            </w:pPr>
            <w:r>
              <w:rPr>
                <w:rFonts w:hint="cs"/>
                <w:rtl/>
              </w:rPr>
              <w:t xml:space="preserve">בסעיף קטן (א2), המילים "בפסקאות (1) ו-(2) ימחקו, ובמקומן יבוא "בפסקה (1)", והמילים "או הודעת תשלום קנס" </w:t>
            </w:r>
            <w:r>
              <w:rPr>
                <w:rtl/>
              </w:rPr>
              <w:t>–</w:t>
            </w:r>
            <w:r>
              <w:rPr>
                <w:rFonts w:hint="cs"/>
                <w:rtl/>
              </w:rPr>
              <w:t xml:space="preserve"> יימחקו;</w:t>
            </w:r>
          </w:p>
        </w:tc>
      </w:tr>
      <w:tr w:rsidR="00C42AFA">
        <w:trPr>
          <w:cantSplit/>
          <w:trHeight w:val="60"/>
        </w:trPr>
        <w:tc>
          <w:tcPr>
            <w:tcW w:w="1871" w:type="dxa"/>
          </w:tcPr>
          <w:p w:rsidR="00C42AFA" w:rsidRDefault="00C42AFA" w:rsidP="00C42AFA">
            <w:pPr>
              <w:pStyle w:val="TableSideHeading"/>
              <w:keepLines w:val="0"/>
              <w:rPr>
                <w:rtl/>
              </w:rPr>
            </w:pPr>
          </w:p>
        </w:tc>
        <w:tc>
          <w:tcPr>
            <w:tcW w:w="624" w:type="dxa"/>
          </w:tcPr>
          <w:p w:rsidR="00C42AFA" w:rsidRDefault="00C42AFA" w:rsidP="00C42AFA">
            <w:pPr>
              <w:pStyle w:val="TableText"/>
            </w:pPr>
          </w:p>
        </w:tc>
        <w:tc>
          <w:tcPr>
            <w:tcW w:w="7146" w:type="dxa"/>
            <w:gridSpan w:val="5"/>
          </w:tcPr>
          <w:p w:rsidR="00C42AFA" w:rsidRDefault="00C42AFA" w:rsidP="002D01EE">
            <w:pPr>
              <w:pStyle w:val="TableBlock"/>
              <w:numPr>
                <w:ilvl w:val="0"/>
                <w:numId w:val="49"/>
              </w:numPr>
              <w:tabs>
                <w:tab w:val="left" w:pos="624"/>
              </w:tabs>
              <w:rPr>
                <w:rtl/>
              </w:rPr>
            </w:pPr>
            <w:r>
              <w:rPr>
                <w:rFonts w:hint="cs"/>
                <w:rtl/>
              </w:rPr>
              <w:t xml:space="preserve">סעיף קטן (א3) </w:t>
            </w:r>
            <w:r>
              <w:rPr>
                <w:rtl/>
              </w:rPr>
              <w:t>–</w:t>
            </w:r>
            <w:r>
              <w:rPr>
                <w:rFonts w:hint="cs"/>
                <w:rtl/>
              </w:rPr>
              <w:t xml:space="preserve"> ימחק.</w:t>
            </w:r>
          </w:p>
        </w:tc>
      </w:tr>
      <w:tr w:rsidR="00C42AFA">
        <w:trPr>
          <w:cantSplit/>
          <w:trHeight w:val="60"/>
        </w:trPr>
        <w:tc>
          <w:tcPr>
            <w:tcW w:w="1871" w:type="dxa"/>
          </w:tcPr>
          <w:p w:rsidR="00C42AFA" w:rsidRDefault="00C42AFA" w:rsidP="00C42AFA">
            <w:pPr>
              <w:pStyle w:val="TableSideHeading"/>
              <w:keepLines w:val="0"/>
              <w:rPr>
                <w:rtl/>
              </w:rPr>
            </w:pPr>
            <w:bookmarkStart w:id="96" w:name="_Toc74773795"/>
            <w:bookmarkStart w:id="97" w:name="_Toc75433172"/>
            <w:r>
              <w:rPr>
                <w:rFonts w:hint="cs"/>
                <w:rtl/>
              </w:rPr>
              <w:t>תיקון פקודת התעבורה</w:t>
            </w:r>
            <w:bookmarkEnd w:id="96"/>
            <w:bookmarkEnd w:id="97"/>
          </w:p>
        </w:tc>
        <w:tc>
          <w:tcPr>
            <w:tcW w:w="624" w:type="dxa"/>
          </w:tcPr>
          <w:p w:rsidR="00C42AFA" w:rsidRDefault="00C42AFA" w:rsidP="00C42AFA">
            <w:pPr>
              <w:pStyle w:val="TableText"/>
              <w:keepLines w:val="0"/>
              <w:numPr>
                <w:ilvl w:val="0"/>
                <w:numId w:val="3"/>
              </w:numPr>
            </w:pPr>
          </w:p>
        </w:tc>
        <w:tc>
          <w:tcPr>
            <w:tcW w:w="7146" w:type="dxa"/>
            <w:gridSpan w:val="5"/>
          </w:tcPr>
          <w:p w:rsidR="00C42AFA" w:rsidRPr="00C34DE2" w:rsidRDefault="00C42AFA" w:rsidP="00C42AFA">
            <w:pPr>
              <w:pStyle w:val="TableBlock"/>
              <w:keepLines w:val="0"/>
            </w:pPr>
            <w:r>
              <w:rPr>
                <w:rFonts w:hint="cs"/>
                <w:rtl/>
              </w:rPr>
              <w:t xml:space="preserve">בפקודת התעבורה </w:t>
            </w:r>
            <w:r>
              <w:rPr>
                <w:rtl/>
              </w:rPr>
              <w:t>–</w:t>
            </w:r>
            <w:r>
              <w:rPr>
                <w:rFonts w:hint="cs"/>
                <w:rtl/>
              </w:rPr>
              <w:t xml:space="preserve"> </w:t>
            </w:r>
          </w:p>
        </w:tc>
      </w:tr>
      <w:tr w:rsidR="002D01EE">
        <w:trPr>
          <w:cantSplit/>
          <w:trHeight w:val="60"/>
        </w:trPr>
        <w:tc>
          <w:tcPr>
            <w:tcW w:w="1871" w:type="dxa"/>
          </w:tcPr>
          <w:p w:rsidR="002D01EE" w:rsidRDefault="002D01EE" w:rsidP="00C42AFA">
            <w:pPr>
              <w:pStyle w:val="TableSideHeading"/>
              <w:keepLines w:val="0"/>
              <w:rPr>
                <w:rtl/>
              </w:rPr>
            </w:pPr>
          </w:p>
        </w:tc>
        <w:tc>
          <w:tcPr>
            <w:tcW w:w="624" w:type="dxa"/>
          </w:tcPr>
          <w:p w:rsidR="002D01EE" w:rsidRDefault="002D01EE" w:rsidP="002D01EE">
            <w:pPr>
              <w:pStyle w:val="TableText"/>
            </w:pPr>
          </w:p>
        </w:tc>
        <w:tc>
          <w:tcPr>
            <w:tcW w:w="7146" w:type="dxa"/>
            <w:gridSpan w:val="5"/>
          </w:tcPr>
          <w:p w:rsidR="002D01EE" w:rsidRDefault="002D01EE" w:rsidP="002D01EE">
            <w:pPr>
              <w:pStyle w:val="TableBlock"/>
              <w:numPr>
                <w:ilvl w:val="0"/>
                <w:numId w:val="50"/>
              </w:numPr>
              <w:tabs>
                <w:tab w:val="left" w:pos="624"/>
              </w:tabs>
              <w:rPr>
                <w:rtl/>
              </w:rPr>
            </w:pPr>
            <w:r>
              <w:rPr>
                <w:rFonts w:hint="cs"/>
                <w:rtl/>
              </w:rPr>
              <w:t xml:space="preserve">בסעיף 1 </w:t>
            </w:r>
            <w:r>
              <w:rPr>
                <w:rtl/>
              </w:rPr>
              <w:t>–</w:t>
            </w:r>
            <w:r>
              <w:rPr>
                <w:rFonts w:hint="cs"/>
                <w:rtl/>
              </w:rPr>
              <w:t xml:space="preserve"> </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624" w:type="dxa"/>
          </w:tcPr>
          <w:p w:rsidR="00C42AFA" w:rsidRDefault="00C42AFA" w:rsidP="002D01EE">
            <w:pPr>
              <w:pStyle w:val="TableText"/>
              <w:numPr>
                <w:ilvl w:val="0"/>
                <w:numId w:val="39"/>
              </w:numPr>
              <w:tabs>
                <w:tab w:val="left" w:pos="624"/>
              </w:tabs>
              <w:jc w:val="both"/>
            </w:pPr>
          </w:p>
        </w:tc>
        <w:tc>
          <w:tcPr>
            <w:tcW w:w="5898" w:type="dxa"/>
            <w:gridSpan w:val="3"/>
          </w:tcPr>
          <w:p w:rsidR="00C42AFA" w:rsidRDefault="00C42AFA" w:rsidP="00C42AFA">
            <w:pPr>
              <w:pStyle w:val="TableBlock"/>
            </w:pPr>
            <w:r>
              <w:rPr>
                <w:rFonts w:hint="cs"/>
                <w:rtl/>
              </w:rPr>
              <w:t>אחרי ההגדרה "בוחן נהיגה" יבוא:</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624" w:type="dxa"/>
          </w:tcPr>
          <w:p w:rsidR="00C42AFA" w:rsidRDefault="00C42AFA" w:rsidP="00C42AFA">
            <w:pPr>
              <w:pStyle w:val="TableText"/>
              <w:jc w:val="both"/>
            </w:pPr>
          </w:p>
        </w:tc>
        <w:tc>
          <w:tcPr>
            <w:tcW w:w="5898" w:type="dxa"/>
            <w:gridSpan w:val="3"/>
          </w:tcPr>
          <w:p w:rsidR="00C42AFA" w:rsidRDefault="00C42AFA" w:rsidP="00D166E0">
            <w:pPr>
              <w:pStyle w:val="TableBlockOutdent"/>
            </w:pPr>
            <w:r>
              <w:rPr>
                <w:rFonts w:hint="cs"/>
                <w:rtl/>
              </w:rPr>
              <w:t xml:space="preserve">""בית דין לתעבורה" </w:t>
            </w:r>
            <w:r>
              <w:rPr>
                <w:rtl/>
              </w:rPr>
              <w:t>–</w:t>
            </w:r>
            <w:r>
              <w:rPr>
                <w:rFonts w:hint="cs"/>
                <w:rtl/>
              </w:rPr>
              <w:t xml:space="preserve"> כהגדרתו בחוק הפרות תעבורה</w:t>
            </w:r>
            <w:r w:rsidR="0014448A">
              <w:rPr>
                <w:rFonts w:hint="cs"/>
                <w:rtl/>
              </w:rPr>
              <w:t xml:space="preserve"> </w:t>
            </w:r>
            <w:proofErr w:type="spellStart"/>
            <w:r w:rsidR="0014448A">
              <w:rPr>
                <w:rFonts w:hint="cs"/>
                <w:rtl/>
              </w:rPr>
              <w:t>מינהליות</w:t>
            </w:r>
            <w:proofErr w:type="spellEnd"/>
            <w:r w:rsidR="0014448A">
              <w:rPr>
                <w:rFonts w:hint="cs"/>
                <w:rtl/>
              </w:rPr>
              <w:t>, התשפ"א-2021</w:t>
            </w:r>
            <w:r>
              <w:rPr>
                <w:rFonts w:hint="cs"/>
                <w:rtl/>
              </w:rPr>
              <w:t>;";</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624" w:type="dxa"/>
          </w:tcPr>
          <w:p w:rsidR="00C42AFA" w:rsidRDefault="00C42AFA" w:rsidP="002D01EE">
            <w:pPr>
              <w:pStyle w:val="TableText"/>
              <w:numPr>
                <w:ilvl w:val="0"/>
                <w:numId w:val="39"/>
              </w:numPr>
              <w:jc w:val="both"/>
            </w:pPr>
          </w:p>
        </w:tc>
        <w:tc>
          <w:tcPr>
            <w:tcW w:w="5898" w:type="dxa"/>
            <w:gridSpan w:val="3"/>
          </w:tcPr>
          <w:p w:rsidR="00C42AFA" w:rsidRDefault="00C42AFA" w:rsidP="00C42AFA">
            <w:pPr>
              <w:pStyle w:val="TableBlock"/>
              <w:rPr>
                <w:rtl/>
              </w:rPr>
            </w:pPr>
            <w:r w:rsidRPr="004E034A">
              <w:rPr>
                <w:rFonts w:hint="cs"/>
                <w:rtl/>
              </w:rPr>
              <w:t>אחרי ההגדרה "אוטובוס ציבורי" יבוא:</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624" w:type="dxa"/>
          </w:tcPr>
          <w:p w:rsidR="00C42AFA" w:rsidRDefault="00C42AFA" w:rsidP="00C42AFA">
            <w:pPr>
              <w:pStyle w:val="TableText"/>
              <w:jc w:val="both"/>
            </w:pPr>
          </w:p>
        </w:tc>
        <w:tc>
          <w:tcPr>
            <w:tcW w:w="5898" w:type="dxa"/>
            <w:gridSpan w:val="3"/>
          </w:tcPr>
          <w:p w:rsidR="00C42AFA" w:rsidRPr="004E034A" w:rsidRDefault="00C42AFA" w:rsidP="00D166E0">
            <w:pPr>
              <w:pStyle w:val="TableBlockOutdent"/>
            </w:pPr>
            <w:r w:rsidRPr="004E034A">
              <w:rPr>
                <w:rFonts w:hint="cs"/>
                <w:rtl/>
              </w:rPr>
              <w:t xml:space="preserve">""הפרת תעבורה" </w:t>
            </w:r>
            <w:r w:rsidRPr="004E034A">
              <w:rPr>
                <w:rtl/>
              </w:rPr>
              <w:t>–</w:t>
            </w:r>
            <w:r w:rsidRPr="004E034A">
              <w:rPr>
                <w:rFonts w:hint="cs"/>
                <w:rtl/>
              </w:rPr>
              <w:t xml:space="preserve"> כהגדרתה </w:t>
            </w:r>
            <w:r w:rsidR="0014448A">
              <w:rPr>
                <w:rFonts w:hint="cs"/>
                <w:rtl/>
              </w:rPr>
              <w:t xml:space="preserve">בחוק הפרות תעבורה </w:t>
            </w:r>
            <w:proofErr w:type="spellStart"/>
            <w:r w:rsidR="0014448A">
              <w:rPr>
                <w:rFonts w:hint="cs"/>
                <w:rtl/>
              </w:rPr>
              <w:t>מינהליות</w:t>
            </w:r>
            <w:proofErr w:type="spellEnd"/>
            <w:r w:rsidR="0014448A">
              <w:rPr>
                <w:rFonts w:hint="cs"/>
                <w:rtl/>
              </w:rPr>
              <w:t>, התשפ"א-2021</w:t>
            </w:r>
            <w:r w:rsidRPr="004E034A">
              <w:rPr>
                <w:rFonts w:hint="cs"/>
                <w:rtl/>
              </w:rPr>
              <w:t>;".</w:t>
            </w:r>
          </w:p>
        </w:tc>
      </w:tr>
      <w:tr w:rsidR="002D01EE">
        <w:trPr>
          <w:cantSplit/>
          <w:trHeight w:val="60"/>
        </w:trPr>
        <w:tc>
          <w:tcPr>
            <w:tcW w:w="1871" w:type="dxa"/>
          </w:tcPr>
          <w:p w:rsidR="002D01EE" w:rsidRDefault="002D01EE">
            <w:pPr>
              <w:pStyle w:val="TableSideHeading"/>
            </w:pPr>
          </w:p>
        </w:tc>
        <w:tc>
          <w:tcPr>
            <w:tcW w:w="624" w:type="dxa"/>
          </w:tcPr>
          <w:p w:rsidR="002D01EE" w:rsidRDefault="002D01EE">
            <w:pPr>
              <w:pStyle w:val="TableText"/>
            </w:pPr>
          </w:p>
        </w:tc>
        <w:tc>
          <w:tcPr>
            <w:tcW w:w="7146" w:type="dxa"/>
            <w:gridSpan w:val="5"/>
          </w:tcPr>
          <w:p w:rsidR="002D01EE" w:rsidRPr="00C34DE2" w:rsidRDefault="002D01EE" w:rsidP="002D01EE">
            <w:pPr>
              <w:pStyle w:val="TableBlock"/>
              <w:numPr>
                <w:ilvl w:val="0"/>
                <w:numId w:val="50"/>
              </w:numPr>
              <w:tabs>
                <w:tab w:val="left" w:pos="624"/>
              </w:tabs>
            </w:pPr>
            <w:r>
              <w:rPr>
                <w:rFonts w:hint="cs"/>
                <w:rtl/>
              </w:rPr>
              <w:t xml:space="preserve">בסעיף 27א1 </w:t>
            </w:r>
            <w:r>
              <w:rPr>
                <w:rtl/>
              </w:rPr>
              <w:t>–</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624" w:type="dxa"/>
          </w:tcPr>
          <w:p w:rsidR="00C42AFA" w:rsidRDefault="00C42AFA" w:rsidP="002D01EE">
            <w:pPr>
              <w:pStyle w:val="TableText"/>
              <w:numPr>
                <w:ilvl w:val="0"/>
                <w:numId w:val="40"/>
              </w:numPr>
              <w:tabs>
                <w:tab w:val="left" w:pos="624"/>
              </w:tabs>
              <w:jc w:val="both"/>
            </w:pPr>
          </w:p>
        </w:tc>
        <w:tc>
          <w:tcPr>
            <w:tcW w:w="5898" w:type="dxa"/>
            <w:gridSpan w:val="3"/>
          </w:tcPr>
          <w:p w:rsidR="00C42AFA" w:rsidRDefault="00C42AFA" w:rsidP="00C42AFA">
            <w:pPr>
              <w:pStyle w:val="TableBlock"/>
            </w:pPr>
            <w:r>
              <w:rPr>
                <w:rFonts w:hint="cs"/>
                <w:rtl/>
              </w:rPr>
              <w:t>בסעיף קטן (א)(1), אחרי "עבירות תעבורה" יבוא "או הפרות תעבורה".</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624" w:type="dxa"/>
          </w:tcPr>
          <w:p w:rsidR="00C42AFA" w:rsidRDefault="00C42AFA" w:rsidP="002D01EE">
            <w:pPr>
              <w:pStyle w:val="TableText"/>
              <w:numPr>
                <w:ilvl w:val="0"/>
                <w:numId w:val="40"/>
              </w:numPr>
              <w:tabs>
                <w:tab w:val="left" w:pos="624"/>
              </w:tabs>
              <w:jc w:val="both"/>
            </w:pPr>
          </w:p>
        </w:tc>
        <w:tc>
          <w:tcPr>
            <w:tcW w:w="5898" w:type="dxa"/>
            <w:gridSpan w:val="3"/>
          </w:tcPr>
          <w:p w:rsidR="00C42AFA" w:rsidRDefault="00C42AFA" w:rsidP="0082002F">
            <w:pPr>
              <w:pStyle w:val="TableBlock"/>
            </w:pPr>
            <w:r>
              <w:rPr>
                <w:rFonts w:hint="cs"/>
                <w:rtl/>
              </w:rPr>
              <w:t xml:space="preserve">בסעיף קטן (ב), אחרי "לחוק סדר הדין הפלילי [נוסח משולב], התשמ"ב-1982" יבוא "או לפי סעיף 9 לחוק הפרות תעבורה", ואחרי "בסעיף 228 לאותו חוק" יבוא "או הודעת תשלום קנס </w:t>
            </w:r>
            <w:r w:rsidR="0082002F">
              <w:rPr>
                <w:rFonts w:hint="cs"/>
                <w:rtl/>
              </w:rPr>
              <w:t xml:space="preserve">הפרה </w:t>
            </w:r>
            <w:r>
              <w:rPr>
                <w:rFonts w:hint="cs"/>
                <w:rtl/>
              </w:rPr>
              <w:t>כאמור בסעיף 3 לחוק הפרות תעבורה".</w:t>
            </w:r>
          </w:p>
        </w:tc>
      </w:tr>
      <w:tr w:rsidR="002D01EE">
        <w:trPr>
          <w:cantSplit/>
          <w:trHeight w:val="60"/>
        </w:trPr>
        <w:tc>
          <w:tcPr>
            <w:tcW w:w="1871" w:type="dxa"/>
          </w:tcPr>
          <w:p w:rsidR="002D01EE" w:rsidRDefault="002D01EE">
            <w:pPr>
              <w:pStyle w:val="TableSideHeading"/>
            </w:pPr>
          </w:p>
        </w:tc>
        <w:tc>
          <w:tcPr>
            <w:tcW w:w="624" w:type="dxa"/>
          </w:tcPr>
          <w:p w:rsidR="002D01EE" w:rsidRDefault="002D01EE">
            <w:pPr>
              <w:pStyle w:val="TableText"/>
            </w:pPr>
          </w:p>
        </w:tc>
        <w:tc>
          <w:tcPr>
            <w:tcW w:w="7146" w:type="dxa"/>
            <w:gridSpan w:val="5"/>
          </w:tcPr>
          <w:p w:rsidR="002D01EE" w:rsidRPr="00C34DE2" w:rsidRDefault="002D01EE" w:rsidP="002D01EE">
            <w:pPr>
              <w:pStyle w:val="TableBlock"/>
              <w:numPr>
                <w:ilvl w:val="0"/>
                <w:numId w:val="50"/>
              </w:numPr>
              <w:tabs>
                <w:tab w:val="left" w:pos="624"/>
              </w:tabs>
            </w:pPr>
            <w:r>
              <w:rPr>
                <w:rFonts w:hint="cs"/>
                <w:rtl/>
              </w:rPr>
              <w:t xml:space="preserve">בסעיף 69א </w:t>
            </w:r>
            <w:r>
              <w:rPr>
                <w:rtl/>
              </w:rPr>
              <w:t>–</w:t>
            </w:r>
            <w:r>
              <w:rPr>
                <w:rFonts w:hint="cs"/>
                <w:rtl/>
              </w:rPr>
              <w:t xml:space="preserve"> </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624" w:type="dxa"/>
          </w:tcPr>
          <w:p w:rsidR="00C42AFA" w:rsidRDefault="00C42AFA" w:rsidP="002D01EE">
            <w:pPr>
              <w:pStyle w:val="TableText"/>
              <w:numPr>
                <w:ilvl w:val="0"/>
                <w:numId w:val="41"/>
              </w:numPr>
              <w:tabs>
                <w:tab w:val="left" w:pos="624"/>
              </w:tabs>
              <w:jc w:val="both"/>
            </w:pPr>
          </w:p>
        </w:tc>
        <w:tc>
          <w:tcPr>
            <w:tcW w:w="5898" w:type="dxa"/>
            <w:gridSpan w:val="3"/>
          </w:tcPr>
          <w:p w:rsidR="00C42AFA" w:rsidRDefault="00C42AFA" w:rsidP="00C42AFA">
            <w:pPr>
              <w:pStyle w:val="TableBlock"/>
            </w:pPr>
            <w:r>
              <w:rPr>
                <w:rFonts w:hint="cs"/>
                <w:rtl/>
              </w:rPr>
              <w:t>במקום סעיף</w:t>
            </w:r>
            <w:r w:rsidRPr="004E034A">
              <w:rPr>
                <w:rFonts w:hint="cs"/>
                <w:rtl/>
              </w:rPr>
              <w:t xml:space="preserve"> קטן (א) </w:t>
            </w:r>
            <w:r>
              <w:rPr>
                <w:rFonts w:hint="cs"/>
                <w:rtl/>
              </w:rPr>
              <w:t>יבוא:</w:t>
            </w:r>
          </w:p>
        </w:tc>
      </w:tr>
      <w:tr w:rsidR="002D01EE">
        <w:trPr>
          <w:cantSplit/>
          <w:trHeight w:val="60"/>
        </w:trPr>
        <w:tc>
          <w:tcPr>
            <w:tcW w:w="1871" w:type="dxa"/>
          </w:tcPr>
          <w:p w:rsidR="002D01EE" w:rsidRDefault="002D01EE" w:rsidP="00C42AFA">
            <w:pPr>
              <w:pStyle w:val="TableSideHeading"/>
            </w:pPr>
          </w:p>
        </w:tc>
        <w:tc>
          <w:tcPr>
            <w:tcW w:w="624" w:type="dxa"/>
          </w:tcPr>
          <w:p w:rsidR="002D01EE" w:rsidRDefault="002D01EE" w:rsidP="002D01EE">
            <w:pPr>
              <w:pStyle w:val="TableText"/>
            </w:pPr>
          </w:p>
        </w:tc>
        <w:tc>
          <w:tcPr>
            <w:tcW w:w="624" w:type="dxa"/>
          </w:tcPr>
          <w:p w:rsidR="002D01EE" w:rsidRDefault="002D01EE" w:rsidP="00C42AFA">
            <w:pPr>
              <w:pStyle w:val="TableText"/>
            </w:pPr>
          </w:p>
        </w:tc>
        <w:tc>
          <w:tcPr>
            <w:tcW w:w="624" w:type="dxa"/>
          </w:tcPr>
          <w:p w:rsidR="002D01EE" w:rsidRDefault="002D01EE" w:rsidP="002D01EE">
            <w:pPr>
              <w:pStyle w:val="TableText"/>
              <w:tabs>
                <w:tab w:val="clear" w:pos="624"/>
              </w:tabs>
              <w:jc w:val="both"/>
            </w:pPr>
          </w:p>
        </w:tc>
        <w:tc>
          <w:tcPr>
            <w:tcW w:w="5898" w:type="dxa"/>
            <w:gridSpan w:val="3"/>
          </w:tcPr>
          <w:p w:rsidR="002D01EE" w:rsidRDefault="002D01EE" w:rsidP="00187428">
            <w:pPr>
              <w:pStyle w:val="TableBlock"/>
              <w:rPr>
                <w:rtl/>
              </w:rPr>
            </w:pPr>
            <w:r>
              <w:rPr>
                <w:rFonts w:hint="cs"/>
                <w:rtl/>
              </w:rPr>
              <w:t xml:space="preserve">"(א) </w:t>
            </w:r>
            <w:r w:rsidRPr="00D61499">
              <w:rPr>
                <w:rtl/>
              </w:rPr>
              <w:t xml:space="preserve">שר התחבורה, בהסכמת שר המשפטים, רשאי לקבוע בתקנות שיטה לרישום נקודות על עבירות תעבורה </w:t>
            </w:r>
            <w:r w:rsidRPr="00D61499">
              <w:rPr>
                <w:rFonts w:hint="eastAsia"/>
                <w:rtl/>
              </w:rPr>
              <w:t>והפרות</w:t>
            </w:r>
            <w:r w:rsidRPr="00D61499">
              <w:rPr>
                <w:rtl/>
              </w:rPr>
              <w:t xml:space="preserve"> תעבורה שבהן הורשע </w:t>
            </w:r>
            <w:r w:rsidRPr="00D61499">
              <w:rPr>
                <w:rFonts w:hint="eastAsia"/>
                <w:rtl/>
              </w:rPr>
              <w:t>או</w:t>
            </w:r>
            <w:r w:rsidR="0014448A">
              <w:rPr>
                <w:rtl/>
              </w:rPr>
              <w:t xml:space="preserve"> הוחלט שביצ</w:t>
            </w:r>
            <w:r w:rsidRPr="00D61499">
              <w:rPr>
                <w:rtl/>
              </w:rPr>
              <w:t xml:space="preserve">ע, לפי העניין, בעל </w:t>
            </w:r>
            <w:proofErr w:type="spellStart"/>
            <w:r w:rsidRPr="00D61499">
              <w:rPr>
                <w:rtl/>
              </w:rPr>
              <w:t>רשיון</w:t>
            </w:r>
            <w:proofErr w:type="spellEnd"/>
            <w:r w:rsidRPr="00D61499">
              <w:rPr>
                <w:rtl/>
              </w:rPr>
              <w:t xml:space="preserve"> נהיגה (להלן – שיטת הניקוד), ולקבוע את סוג העבירות </w:t>
            </w:r>
            <w:r w:rsidRPr="00D61499">
              <w:rPr>
                <w:rFonts w:hint="eastAsia"/>
                <w:rtl/>
              </w:rPr>
              <w:t>וההפרות</w:t>
            </w:r>
            <w:r w:rsidRPr="00D61499">
              <w:rPr>
                <w:rtl/>
              </w:rPr>
              <w:t xml:space="preserve"> ומספר הנקודות שיירשמו לחובתו של בעל </w:t>
            </w:r>
            <w:proofErr w:type="spellStart"/>
            <w:r w:rsidRPr="00D61499">
              <w:rPr>
                <w:rtl/>
              </w:rPr>
              <w:t>הרשיון</w:t>
            </w:r>
            <w:proofErr w:type="spellEnd"/>
            <w:r w:rsidRPr="00D61499">
              <w:rPr>
                <w:rtl/>
              </w:rPr>
              <w:t xml:space="preserve"> על עבירה שבה הורשע או על הפרה שהוחלט שביצע, לפי העניין.</w:t>
            </w:r>
            <w:r>
              <w:rPr>
                <w:rFonts w:hint="cs"/>
                <w:rtl/>
              </w:rPr>
              <w:t>".</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C42AFA">
            <w:pPr>
              <w:pStyle w:val="TableText"/>
            </w:pPr>
          </w:p>
        </w:tc>
        <w:tc>
          <w:tcPr>
            <w:tcW w:w="624" w:type="dxa"/>
          </w:tcPr>
          <w:p w:rsidR="00C42AFA" w:rsidRDefault="00C42AFA" w:rsidP="002D01EE">
            <w:pPr>
              <w:pStyle w:val="TableText"/>
              <w:numPr>
                <w:ilvl w:val="0"/>
                <w:numId w:val="41"/>
              </w:numPr>
            </w:pPr>
          </w:p>
        </w:tc>
        <w:tc>
          <w:tcPr>
            <w:tcW w:w="5898" w:type="dxa"/>
            <w:gridSpan w:val="3"/>
          </w:tcPr>
          <w:p w:rsidR="00C42AFA" w:rsidRDefault="00C42AFA" w:rsidP="00C42AFA">
            <w:pPr>
              <w:pStyle w:val="TableBlock"/>
            </w:pPr>
            <w:r w:rsidRPr="004E034A">
              <w:rPr>
                <w:rFonts w:hint="cs"/>
                <w:rtl/>
              </w:rPr>
              <w:t>בסעיף קטן (ג) בסיפא יבוא "או בנוסף לכל החלטה של בית דין לתעבורה בעניינו של אדם שהוחלט שביצע הפרת תעבורה, לפי העניין".</w:t>
            </w:r>
          </w:p>
        </w:tc>
      </w:tr>
      <w:tr w:rsidR="00C42AFA">
        <w:trPr>
          <w:cantSplit/>
          <w:trHeight w:val="60"/>
        </w:trPr>
        <w:tc>
          <w:tcPr>
            <w:tcW w:w="1871" w:type="dxa"/>
          </w:tcPr>
          <w:p w:rsidR="00C42AFA" w:rsidRDefault="00C42AFA" w:rsidP="00C42AFA">
            <w:pPr>
              <w:pStyle w:val="TableSideHeading"/>
              <w:keepLines w:val="0"/>
            </w:pPr>
            <w:bookmarkStart w:id="98" w:name="_Toc74773796"/>
            <w:bookmarkStart w:id="99" w:name="_Toc75433173"/>
            <w:r>
              <w:rPr>
                <w:rFonts w:hint="cs"/>
                <w:rtl/>
              </w:rPr>
              <w:t>תיקון חוק רישוי שירותים ומקצועות בענף הרכב</w:t>
            </w:r>
            <w:bookmarkEnd w:id="98"/>
            <w:bookmarkEnd w:id="99"/>
          </w:p>
        </w:tc>
        <w:tc>
          <w:tcPr>
            <w:tcW w:w="624" w:type="dxa"/>
          </w:tcPr>
          <w:p w:rsidR="00C42AFA" w:rsidRDefault="00C42AFA" w:rsidP="00C42AFA">
            <w:pPr>
              <w:pStyle w:val="TableText"/>
              <w:keepLines w:val="0"/>
              <w:numPr>
                <w:ilvl w:val="0"/>
                <w:numId w:val="3"/>
              </w:numPr>
            </w:pPr>
          </w:p>
        </w:tc>
        <w:tc>
          <w:tcPr>
            <w:tcW w:w="7146" w:type="dxa"/>
            <w:gridSpan w:val="5"/>
          </w:tcPr>
          <w:p w:rsidR="00C42AFA" w:rsidRPr="00C34DE2" w:rsidRDefault="00C42AFA" w:rsidP="00C42AFA">
            <w:pPr>
              <w:pStyle w:val="TableBlock"/>
              <w:keepLines w:val="0"/>
            </w:pPr>
            <w:r w:rsidRPr="004E034A">
              <w:rPr>
                <w:rFonts w:hint="cs"/>
                <w:rtl/>
              </w:rPr>
              <w:t>בחוק רישוי שירותים ומקצועות בענף הרכב, התשע"ו-2016</w:t>
            </w:r>
            <w:r w:rsidRPr="004E034A">
              <w:rPr>
                <w:rStyle w:val="a9"/>
                <w:rtl/>
              </w:rPr>
              <w:footnoteReference w:id="19"/>
            </w:r>
            <w:r w:rsidRPr="004E034A">
              <w:rPr>
                <w:rFonts w:hint="cs"/>
                <w:rtl/>
              </w:rPr>
              <w:t xml:space="preserve"> </w:t>
            </w:r>
            <w:r w:rsidRPr="004E034A">
              <w:rPr>
                <w:rtl/>
              </w:rPr>
              <w:t>–</w:t>
            </w:r>
          </w:p>
        </w:tc>
      </w:tr>
      <w:tr w:rsidR="002D01EE">
        <w:trPr>
          <w:cantSplit/>
          <w:trHeight w:val="60"/>
        </w:trPr>
        <w:tc>
          <w:tcPr>
            <w:tcW w:w="1871" w:type="dxa"/>
          </w:tcPr>
          <w:p w:rsidR="002D01EE" w:rsidRDefault="002D01EE" w:rsidP="00C42AFA">
            <w:pPr>
              <w:pStyle w:val="TableSideHeading"/>
              <w:keepLines w:val="0"/>
              <w:rPr>
                <w:rtl/>
              </w:rPr>
            </w:pPr>
          </w:p>
        </w:tc>
        <w:tc>
          <w:tcPr>
            <w:tcW w:w="624" w:type="dxa"/>
          </w:tcPr>
          <w:p w:rsidR="002D01EE" w:rsidRDefault="002D01EE" w:rsidP="002D01EE">
            <w:pPr>
              <w:pStyle w:val="TableText"/>
            </w:pPr>
          </w:p>
        </w:tc>
        <w:tc>
          <w:tcPr>
            <w:tcW w:w="7146" w:type="dxa"/>
            <w:gridSpan w:val="5"/>
          </w:tcPr>
          <w:p w:rsidR="002D01EE" w:rsidRPr="004E034A" w:rsidRDefault="002D01EE" w:rsidP="002D01EE">
            <w:pPr>
              <w:pStyle w:val="TableBlock"/>
              <w:numPr>
                <w:ilvl w:val="0"/>
                <w:numId w:val="51"/>
              </w:numPr>
              <w:tabs>
                <w:tab w:val="left" w:pos="624"/>
              </w:tabs>
              <w:rPr>
                <w:rtl/>
              </w:rPr>
            </w:pPr>
            <w:r w:rsidRPr="004E034A">
              <w:rPr>
                <w:rFonts w:hint="cs"/>
                <w:rtl/>
              </w:rPr>
              <w:t>בסעיף 1, אחרי "הוועדה" יבוא:</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C42AFA">
            <w:pPr>
              <w:pStyle w:val="TableText"/>
              <w:jc w:val="both"/>
            </w:pPr>
          </w:p>
        </w:tc>
        <w:tc>
          <w:tcPr>
            <w:tcW w:w="6522" w:type="dxa"/>
            <w:gridSpan w:val="4"/>
          </w:tcPr>
          <w:p w:rsidR="00C42AFA" w:rsidRPr="007B09A1" w:rsidRDefault="00C42AFA" w:rsidP="00C42AFA">
            <w:pPr>
              <w:pStyle w:val="TableBlockOutdent"/>
              <w:rPr>
                <w:rtl/>
              </w:rPr>
            </w:pPr>
            <w:r>
              <w:rPr>
                <w:rtl/>
              </w:rPr>
              <w:t>"</w:t>
            </w:r>
            <w:r w:rsidRPr="004E034A">
              <w:rPr>
                <w:rFonts w:hint="cs"/>
                <w:rtl/>
              </w:rPr>
              <w:t xml:space="preserve">"הפרת תעבורה" </w:t>
            </w:r>
            <w:r w:rsidRPr="004E034A">
              <w:rPr>
                <w:rtl/>
              </w:rPr>
              <w:t>–</w:t>
            </w:r>
            <w:r w:rsidRPr="004E034A">
              <w:rPr>
                <w:rFonts w:hint="cs"/>
                <w:rtl/>
              </w:rPr>
              <w:t xml:space="preserve"> כהגדרתה בחוק הפרות</w:t>
            </w:r>
            <w:r w:rsidRPr="004E034A">
              <w:rPr>
                <w:rtl/>
              </w:rPr>
              <w:t xml:space="preserve"> </w:t>
            </w:r>
            <w:r w:rsidRPr="004E034A">
              <w:rPr>
                <w:rFonts w:hint="cs"/>
                <w:rtl/>
              </w:rPr>
              <w:t>תעבורה</w:t>
            </w:r>
            <w:r w:rsidRPr="004E034A">
              <w:rPr>
                <w:rtl/>
              </w:rPr>
              <w:t xml:space="preserve"> </w:t>
            </w:r>
            <w:proofErr w:type="spellStart"/>
            <w:r w:rsidRPr="004E034A">
              <w:rPr>
                <w:rFonts w:hint="cs"/>
                <w:rtl/>
              </w:rPr>
              <w:t>מינהליות</w:t>
            </w:r>
            <w:proofErr w:type="spellEnd"/>
            <w:r w:rsidRPr="004E034A">
              <w:rPr>
                <w:rtl/>
              </w:rPr>
              <w:t xml:space="preserve">, </w:t>
            </w:r>
            <w:r w:rsidRPr="004E034A">
              <w:rPr>
                <w:rFonts w:hint="cs"/>
                <w:rtl/>
              </w:rPr>
              <w:t>התשפ</w:t>
            </w:r>
            <w:r w:rsidRPr="004E034A">
              <w:rPr>
                <w:rtl/>
              </w:rPr>
              <w:t>"א-202</w:t>
            </w:r>
            <w:r>
              <w:rPr>
                <w:rFonts w:hint="cs"/>
                <w:rtl/>
              </w:rPr>
              <w:t>1</w:t>
            </w:r>
            <w:r w:rsidRPr="004E034A">
              <w:rPr>
                <w:rFonts w:hint="cs"/>
                <w:rtl/>
              </w:rPr>
              <w:t>;".</w:t>
            </w:r>
          </w:p>
        </w:tc>
      </w:tr>
      <w:tr w:rsidR="002D01EE">
        <w:trPr>
          <w:cantSplit/>
          <w:trHeight w:val="60"/>
        </w:trPr>
        <w:tc>
          <w:tcPr>
            <w:tcW w:w="1871" w:type="dxa"/>
          </w:tcPr>
          <w:p w:rsidR="002D01EE" w:rsidRDefault="002D01EE">
            <w:pPr>
              <w:pStyle w:val="TableSideHeading"/>
            </w:pPr>
          </w:p>
        </w:tc>
        <w:tc>
          <w:tcPr>
            <w:tcW w:w="624" w:type="dxa"/>
          </w:tcPr>
          <w:p w:rsidR="002D01EE" w:rsidRDefault="002D01EE">
            <w:pPr>
              <w:pStyle w:val="TableText"/>
            </w:pPr>
          </w:p>
        </w:tc>
        <w:tc>
          <w:tcPr>
            <w:tcW w:w="7146" w:type="dxa"/>
            <w:gridSpan w:val="5"/>
          </w:tcPr>
          <w:p w:rsidR="002D01EE" w:rsidRPr="00C34DE2" w:rsidRDefault="002D01EE" w:rsidP="002D01EE">
            <w:pPr>
              <w:pStyle w:val="TableBlock"/>
              <w:numPr>
                <w:ilvl w:val="0"/>
                <w:numId w:val="51"/>
              </w:numPr>
              <w:tabs>
                <w:tab w:val="left" w:pos="624"/>
              </w:tabs>
            </w:pPr>
            <w:r w:rsidRPr="004E034A">
              <w:rPr>
                <w:rFonts w:hint="cs"/>
                <w:rtl/>
              </w:rPr>
              <w:t>בסעיף 8, אחרי "בעבירת משמעת" יבוא "או הוחלט שביצע הפרת תעבורה", אחרי "בעניינו" יבוא "או הוגש ערר על החלטה בדבר ביצוע הפרת תעבורה או ערעור על ההחלטה בערר כאמור וטרם ניתנו החלטה או פסק דין, לפי העניין, סופיים בעניינו".</w:t>
            </w:r>
          </w:p>
        </w:tc>
      </w:tr>
      <w:tr w:rsidR="002D01EE">
        <w:trPr>
          <w:cantSplit/>
          <w:trHeight w:val="60"/>
        </w:trPr>
        <w:tc>
          <w:tcPr>
            <w:tcW w:w="1871" w:type="dxa"/>
          </w:tcPr>
          <w:p w:rsidR="002D01EE" w:rsidRDefault="002D01EE">
            <w:pPr>
              <w:pStyle w:val="TableSideHeading"/>
            </w:pPr>
          </w:p>
        </w:tc>
        <w:tc>
          <w:tcPr>
            <w:tcW w:w="624" w:type="dxa"/>
          </w:tcPr>
          <w:p w:rsidR="002D01EE" w:rsidRDefault="002D01EE" w:rsidP="002D01EE">
            <w:pPr>
              <w:pStyle w:val="TableText"/>
            </w:pPr>
          </w:p>
        </w:tc>
        <w:tc>
          <w:tcPr>
            <w:tcW w:w="7146" w:type="dxa"/>
            <w:gridSpan w:val="5"/>
          </w:tcPr>
          <w:p w:rsidR="002D01EE" w:rsidRPr="004E034A" w:rsidRDefault="002D01EE" w:rsidP="002D01EE">
            <w:pPr>
              <w:pStyle w:val="TableBlock"/>
              <w:numPr>
                <w:ilvl w:val="0"/>
                <w:numId w:val="51"/>
              </w:numPr>
              <w:tabs>
                <w:tab w:val="left" w:pos="624"/>
              </w:tabs>
              <w:rPr>
                <w:rtl/>
              </w:rPr>
            </w:pPr>
            <w:r w:rsidRPr="004E034A">
              <w:rPr>
                <w:rFonts w:hint="cs"/>
                <w:rtl/>
              </w:rPr>
              <w:t>בסעיף 10(א)(7), אחרי "בעבירת משמעת" יבוא "או הוחלט שביצע הפרת תעבורה", אחרי "בעניינו" יבוא "או הוגש ערר על החלטה בדבר ביצוע הפרת תעבורה או ערעור על ההחלטה בערר כאמור וטרם ניתנו החלטה או פסק דין, לפי העניין, סופיים בעניינו".</w:t>
            </w:r>
          </w:p>
        </w:tc>
      </w:tr>
      <w:tr w:rsidR="00C42AFA">
        <w:trPr>
          <w:cantSplit/>
          <w:trHeight w:val="60"/>
        </w:trPr>
        <w:tc>
          <w:tcPr>
            <w:tcW w:w="1871" w:type="dxa"/>
          </w:tcPr>
          <w:p w:rsidR="00C42AFA" w:rsidRDefault="00C42AFA" w:rsidP="00C61F7F">
            <w:pPr>
              <w:pStyle w:val="TableSideHeading"/>
              <w:keepLines w:val="0"/>
            </w:pPr>
            <w:bookmarkStart w:id="100" w:name="_Toc74773797"/>
            <w:bookmarkStart w:id="101" w:name="_Toc75433174"/>
            <w:r>
              <w:rPr>
                <w:rFonts w:hint="cs"/>
                <w:rtl/>
              </w:rPr>
              <w:t xml:space="preserve">תיקון </w:t>
            </w:r>
            <w:r w:rsidR="00C50BB6">
              <w:rPr>
                <w:rFonts w:hint="cs"/>
                <w:rtl/>
              </w:rPr>
              <w:t>ה</w:t>
            </w:r>
            <w:r>
              <w:rPr>
                <w:rFonts w:hint="cs"/>
                <w:rtl/>
              </w:rPr>
              <w:t xml:space="preserve">חוק לייעול הפיקוח והאכיפה </w:t>
            </w:r>
            <w:bookmarkEnd w:id="100"/>
            <w:bookmarkEnd w:id="101"/>
          </w:p>
        </w:tc>
        <w:tc>
          <w:tcPr>
            <w:tcW w:w="624" w:type="dxa"/>
          </w:tcPr>
          <w:p w:rsidR="00C42AFA" w:rsidRDefault="00C42AFA" w:rsidP="00C42AFA">
            <w:pPr>
              <w:pStyle w:val="TableText"/>
              <w:keepLines w:val="0"/>
              <w:numPr>
                <w:ilvl w:val="0"/>
                <w:numId w:val="3"/>
              </w:numPr>
            </w:pPr>
          </w:p>
        </w:tc>
        <w:tc>
          <w:tcPr>
            <w:tcW w:w="7146" w:type="dxa"/>
            <w:gridSpan w:val="5"/>
          </w:tcPr>
          <w:p w:rsidR="00C42AFA" w:rsidRPr="00C34DE2" w:rsidRDefault="00C42AFA" w:rsidP="00C61F7F">
            <w:pPr>
              <w:pStyle w:val="TableBlock"/>
              <w:keepLines w:val="0"/>
            </w:pPr>
            <w:r w:rsidRPr="004E034A">
              <w:rPr>
                <w:rFonts w:hint="cs"/>
                <w:rtl/>
              </w:rPr>
              <w:t xml:space="preserve">בחוק לייעול הפיקוח והאכיפה, בסעיף 3(ב)(1), אחרי "בעבירה" יבוא "או לא הוחלט שביצע הפרת תעבורה", אחרי "בעניינו" יבוא "או לא הוגש ערר על החלטה בדבר ביצוע הפרת תעבורה או ערעור על ההחלטה בערר כאמור וטרם ניתנו החלטה או פסק דין, לפי העניין, סופיים בעניינו; בסעיף זה, "הפרת תעבורה" </w:t>
            </w:r>
            <w:r w:rsidRPr="004E034A">
              <w:rPr>
                <w:rtl/>
              </w:rPr>
              <w:t>–</w:t>
            </w:r>
            <w:r w:rsidRPr="004E034A">
              <w:rPr>
                <w:rFonts w:hint="cs"/>
                <w:rtl/>
              </w:rPr>
              <w:t xml:space="preserve"> כהגדרתה בחוק הפרות</w:t>
            </w:r>
            <w:r w:rsidRPr="004E034A">
              <w:rPr>
                <w:rtl/>
              </w:rPr>
              <w:t xml:space="preserve"> </w:t>
            </w:r>
            <w:r w:rsidRPr="004E034A">
              <w:rPr>
                <w:rFonts w:hint="cs"/>
                <w:rtl/>
              </w:rPr>
              <w:t>תעבורה</w:t>
            </w:r>
            <w:r w:rsidRPr="004E034A">
              <w:rPr>
                <w:rtl/>
              </w:rPr>
              <w:t xml:space="preserve"> </w:t>
            </w:r>
            <w:proofErr w:type="spellStart"/>
            <w:r w:rsidRPr="004E034A">
              <w:rPr>
                <w:rFonts w:hint="cs"/>
                <w:rtl/>
              </w:rPr>
              <w:t>מינהליות</w:t>
            </w:r>
            <w:proofErr w:type="spellEnd"/>
            <w:r w:rsidRPr="004E034A">
              <w:rPr>
                <w:rtl/>
              </w:rPr>
              <w:t xml:space="preserve">, </w:t>
            </w:r>
            <w:r w:rsidRPr="004E034A">
              <w:rPr>
                <w:rFonts w:hint="cs"/>
                <w:rtl/>
              </w:rPr>
              <w:t>התשפ</w:t>
            </w:r>
            <w:r w:rsidRPr="004E034A">
              <w:rPr>
                <w:rtl/>
              </w:rPr>
              <w:t>"א-202</w:t>
            </w:r>
            <w:r>
              <w:rPr>
                <w:rFonts w:hint="cs"/>
                <w:rtl/>
              </w:rPr>
              <w:t>1</w:t>
            </w:r>
            <w:r w:rsidRPr="004E034A">
              <w:rPr>
                <w:rFonts w:hint="cs"/>
                <w:rtl/>
              </w:rPr>
              <w:t>".</w:t>
            </w:r>
          </w:p>
        </w:tc>
      </w:tr>
      <w:tr w:rsidR="00A4121B">
        <w:trPr>
          <w:cantSplit/>
          <w:trHeight w:val="60"/>
        </w:trPr>
        <w:tc>
          <w:tcPr>
            <w:tcW w:w="1871" w:type="dxa"/>
          </w:tcPr>
          <w:p w:rsidR="00A4121B" w:rsidRDefault="00A4121B" w:rsidP="00A4121B">
            <w:pPr>
              <w:pStyle w:val="TableSideHeading"/>
              <w:keepLines w:val="0"/>
            </w:pPr>
            <w:bookmarkStart w:id="102" w:name="_Toc75433175"/>
            <w:bookmarkStart w:id="103" w:name="_Toc74773798"/>
            <w:r>
              <w:rPr>
                <w:rFonts w:hint="cs"/>
                <w:rtl/>
              </w:rPr>
              <w:t>חוק המרכז לגביית קנסות</w:t>
            </w:r>
            <w:bookmarkEnd w:id="102"/>
          </w:p>
        </w:tc>
        <w:tc>
          <w:tcPr>
            <w:tcW w:w="624" w:type="dxa"/>
          </w:tcPr>
          <w:p w:rsidR="00A4121B" w:rsidRDefault="00A4121B" w:rsidP="00A4121B">
            <w:pPr>
              <w:pStyle w:val="TableText"/>
              <w:keepLines w:val="0"/>
              <w:numPr>
                <w:ilvl w:val="0"/>
                <w:numId w:val="3"/>
              </w:numPr>
            </w:pPr>
          </w:p>
        </w:tc>
        <w:tc>
          <w:tcPr>
            <w:tcW w:w="7146" w:type="dxa"/>
            <w:gridSpan w:val="5"/>
          </w:tcPr>
          <w:p w:rsidR="00A4121B" w:rsidRPr="00C34DE2" w:rsidRDefault="00A4121B" w:rsidP="00B27B22">
            <w:pPr>
              <w:pStyle w:val="TableBlock"/>
              <w:keepLines w:val="0"/>
            </w:pPr>
            <w:r>
              <w:rPr>
                <w:rFonts w:hint="cs"/>
                <w:rtl/>
              </w:rPr>
              <w:t xml:space="preserve">בחוק המרכז לגביית קנסות, בסעיף 1 בהגדרה </w:t>
            </w:r>
            <w:r w:rsidR="00B27B22">
              <w:rPr>
                <w:rFonts w:hint="cs"/>
                <w:rtl/>
              </w:rPr>
              <w:t xml:space="preserve">"חוב" </w:t>
            </w:r>
            <w:r w:rsidR="00B27B22">
              <w:rPr>
                <w:rtl/>
              </w:rPr>
              <w:t>–</w:t>
            </w:r>
            <w:r>
              <w:rPr>
                <w:rFonts w:hint="cs"/>
                <w:rtl/>
              </w:rPr>
              <w:t xml:space="preserve"> </w:t>
            </w:r>
          </w:p>
        </w:tc>
      </w:tr>
      <w:tr w:rsidR="00B27B22">
        <w:trPr>
          <w:cantSplit/>
          <w:trHeight w:val="60"/>
        </w:trPr>
        <w:tc>
          <w:tcPr>
            <w:tcW w:w="1871" w:type="dxa"/>
          </w:tcPr>
          <w:p w:rsidR="00B27B22" w:rsidRDefault="00B27B22">
            <w:pPr>
              <w:pStyle w:val="TableSideHeading"/>
            </w:pPr>
          </w:p>
        </w:tc>
        <w:tc>
          <w:tcPr>
            <w:tcW w:w="624" w:type="dxa"/>
          </w:tcPr>
          <w:p w:rsidR="00B27B22" w:rsidRDefault="00B27B22">
            <w:pPr>
              <w:pStyle w:val="TableText"/>
            </w:pPr>
          </w:p>
        </w:tc>
        <w:tc>
          <w:tcPr>
            <w:tcW w:w="624" w:type="dxa"/>
          </w:tcPr>
          <w:p w:rsidR="00B27B22" w:rsidRDefault="00B27B22">
            <w:pPr>
              <w:pStyle w:val="TableText"/>
            </w:pPr>
          </w:p>
        </w:tc>
        <w:tc>
          <w:tcPr>
            <w:tcW w:w="6522" w:type="dxa"/>
            <w:gridSpan w:val="4"/>
          </w:tcPr>
          <w:p w:rsidR="00B27B22" w:rsidRDefault="00B27B22" w:rsidP="00FE1884">
            <w:pPr>
              <w:pStyle w:val="TableBlock"/>
              <w:numPr>
                <w:ilvl w:val="0"/>
                <w:numId w:val="52"/>
              </w:numPr>
              <w:tabs>
                <w:tab w:val="left" w:pos="624"/>
              </w:tabs>
            </w:pPr>
            <w:r>
              <w:rPr>
                <w:rFonts w:hint="cs"/>
                <w:rtl/>
              </w:rPr>
              <w:t>אחרי פסקה (2) יבוא:</w:t>
            </w:r>
          </w:p>
        </w:tc>
      </w:tr>
      <w:tr w:rsidR="00B27B22">
        <w:trPr>
          <w:cantSplit/>
          <w:trHeight w:val="60"/>
        </w:trPr>
        <w:tc>
          <w:tcPr>
            <w:tcW w:w="1871" w:type="dxa"/>
          </w:tcPr>
          <w:p w:rsidR="00B27B22" w:rsidRDefault="00B27B22">
            <w:pPr>
              <w:pStyle w:val="TableSideHeading"/>
            </w:pPr>
          </w:p>
        </w:tc>
        <w:tc>
          <w:tcPr>
            <w:tcW w:w="624" w:type="dxa"/>
          </w:tcPr>
          <w:p w:rsidR="00B27B22" w:rsidRDefault="00B27B22" w:rsidP="00B27B22">
            <w:pPr>
              <w:pStyle w:val="TableText"/>
            </w:pPr>
          </w:p>
        </w:tc>
        <w:tc>
          <w:tcPr>
            <w:tcW w:w="624" w:type="dxa"/>
          </w:tcPr>
          <w:p w:rsidR="00B27B22" w:rsidRDefault="00B27B22">
            <w:pPr>
              <w:pStyle w:val="TableText"/>
            </w:pPr>
          </w:p>
        </w:tc>
        <w:tc>
          <w:tcPr>
            <w:tcW w:w="6522" w:type="dxa"/>
            <w:gridSpan w:val="4"/>
          </w:tcPr>
          <w:p w:rsidR="00B27B22" w:rsidRDefault="00B27B22" w:rsidP="00FE1884">
            <w:pPr>
              <w:pStyle w:val="TableBlock"/>
              <w:tabs>
                <w:tab w:val="clear" w:pos="624"/>
              </w:tabs>
              <w:rPr>
                <w:rtl/>
              </w:rPr>
            </w:pPr>
            <w:r>
              <w:rPr>
                <w:rFonts w:hint="cs"/>
                <w:rtl/>
              </w:rPr>
              <w:t xml:space="preserve">"(2א) קנס הפרה כמשמעותו בחוק הפרות תעבורה </w:t>
            </w:r>
            <w:proofErr w:type="spellStart"/>
            <w:r>
              <w:rPr>
                <w:rFonts w:hint="cs"/>
                <w:rtl/>
              </w:rPr>
              <w:t>מינהליות</w:t>
            </w:r>
            <w:proofErr w:type="spellEnd"/>
            <w:r>
              <w:rPr>
                <w:rFonts w:hint="cs"/>
                <w:rtl/>
              </w:rPr>
              <w:t xml:space="preserve">, התשפ"א-2021 (בהגדרה זו </w:t>
            </w:r>
            <w:r>
              <w:rPr>
                <w:rtl/>
              </w:rPr>
              <w:t>–</w:t>
            </w:r>
            <w:r>
              <w:rPr>
                <w:rFonts w:hint="cs"/>
                <w:rtl/>
              </w:rPr>
              <w:t xml:space="preserve"> קנס הפרה);";</w:t>
            </w:r>
          </w:p>
        </w:tc>
      </w:tr>
      <w:tr w:rsidR="00B27B22">
        <w:trPr>
          <w:cantSplit/>
          <w:trHeight w:val="60"/>
        </w:trPr>
        <w:tc>
          <w:tcPr>
            <w:tcW w:w="1871" w:type="dxa"/>
          </w:tcPr>
          <w:p w:rsidR="00B27B22" w:rsidRDefault="00B27B22">
            <w:pPr>
              <w:pStyle w:val="TableSideHeading"/>
            </w:pPr>
          </w:p>
        </w:tc>
        <w:tc>
          <w:tcPr>
            <w:tcW w:w="624" w:type="dxa"/>
          </w:tcPr>
          <w:p w:rsidR="00B27B22" w:rsidRDefault="00B27B22" w:rsidP="00B27B22">
            <w:pPr>
              <w:pStyle w:val="TableText"/>
            </w:pPr>
          </w:p>
        </w:tc>
        <w:tc>
          <w:tcPr>
            <w:tcW w:w="624" w:type="dxa"/>
          </w:tcPr>
          <w:p w:rsidR="00B27B22" w:rsidRDefault="00B27B22">
            <w:pPr>
              <w:pStyle w:val="TableText"/>
            </w:pPr>
          </w:p>
        </w:tc>
        <w:tc>
          <w:tcPr>
            <w:tcW w:w="6522" w:type="dxa"/>
            <w:gridSpan w:val="4"/>
          </w:tcPr>
          <w:p w:rsidR="00B27B22" w:rsidRDefault="00B27B22" w:rsidP="00FE1884">
            <w:pPr>
              <w:pStyle w:val="TableBlock"/>
              <w:numPr>
                <w:ilvl w:val="0"/>
                <w:numId w:val="52"/>
              </w:numPr>
              <w:rPr>
                <w:rtl/>
              </w:rPr>
            </w:pPr>
            <w:r>
              <w:rPr>
                <w:rFonts w:hint="cs"/>
                <w:rtl/>
              </w:rPr>
              <w:t xml:space="preserve">בפסקה (16א) אחרי "קנס </w:t>
            </w:r>
            <w:proofErr w:type="spellStart"/>
            <w:r>
              <w:rPr>
                <w:rFonts w:hint="cs"/>
                <w:rtl/>
              </w:rPr>
              <w:t>מינהלי</w:t>
            </w:r>
            <w:proofErr w:type="spellEnd"/>
            <w:r>
              <w:rPr>
                <w:rFonts w:hint="cs"/>
                <w:rtl/>
              </w:rPr>
              <w:t>" יבוא ", קנס הפרה".</w:t>
            </w:r>
          </w:p>
        </w:tc>
      </w:tr>
      <w:tr w:rsidR="00C42AFA">
        <w:trPr>
          <w:cantSplit/>
          <w:trHeight w:val="60"/>
        </w:trPr>
        <w:tc>
          <w:tcPr>
            <w:tcW w:w="1871" w:type="dxa"/>
          </w:tcPr>
          <w:p w:rsidR="00C42AFA" w:rsidRDefault="00C42AFA" w:rsidP="00C42AFA">
            <w:pPr>
              <w:pStyle w:val="TableSideHeading"/>
              <w:keepLines w:val="0"/>
            </w:pPr>
            <w:bookmarkStart w:id="104" w:name="_Toc75433176"/>
            <w:r>
              <w:rPr>
                <w:rFonts w:hint="cs"/>
                <w:rtl/>
              </w:rPr>
              <w:t>תחילה</w:t>
            </w:r>
            <w:bookmarkEnd w:id="103"/>
            <w:bookmarkEnd w:id="104"/>
          </w:p>
        </w:tc>
        <w:tc>
          <w:tcPr>
            <w:tcW w:w="624" w:type="dxa"/>
          </w:tcPr>
          <w:p w:rsidR="00C42AFA" w:rsidRDefault="00C42AFA" w:rsidP="00C42AFA">
            <w:pPr>
              <w:pStyle w:val="TableText"/>
              <w:keepLines w:val="0"/>
              <w:numPr>
                <w:ilvl w:val="0"/>
                <w:numId w:val="3"/>
              </w:numPr>
            </w:pPr>
          </w:p>
        </w:tc>
        <w:tc>
          <w:tcPr>
            <w:tcW w:w="7146" w:type="dxa"/>
            <w:gridSpan w:val="5"/>
          </w:tcPr>
          <w:p w:rsidR="00C42AFA" w:rsidRPr="00C34DE2" w:rsidRDefault="00C42AFA" w:rsidP="00C42AFA">
            <w:pPr>
              <w:pStyle w:val="TableBlock"/>
              <w:keepLines w:val="0"/>
            </w:pPr>
            <w:r w:rsidRPr="004E034A">
              <w:rPr>
                <w:rFonts w:hint="cs"/>
                <w:rtl/>
              </w:rPr>
              <w:t xml:space="preserve">תחילת תוקפו של </w:t>
            </w:r>
            <w:r w:rsidRPr="004E034A">
              <w:rPr>
                <w:rFonts w:hint="eastAsia"/>
                <w:rtl/>
              </w:rPr>
              <w:t>חוק</w:t>
            </w:r>
            <w:r w:rsidRPr="004E034A">
              <w:rPr>
                <w:rtl/>
              </w:rPr>
              <w:t xml:space="preserve"> </w:t>
            </w:r>
            <w:r w:rsidRPr="004E034A">
              <w:rPr>
                <w:rFonts w:hint="eastAsia"/>
                <w:rtl/>
              </w:rPr>
              <w:t>זה</w:t>
            </w:r>
            <w:r w:rsidRPr="004E034A">
              <w:rPr>
                <w:rFonts w:hint="cs"/>
                <w:rtl/>
              </w:rPr>
              <w:t xml:space="preserve"> </w:t>
            </w:r>
            <w:r>
              <w:rPr>
                <w:rFonts w:hint="cs"/>
                <w:rtl/>
              </w:rPr>
              <w:t>שנה</w:t>
            </w:r>
            <w:r w:rsidRPr="004E034A">
              <w:rPr>
                <w:rFonts w:hint="cs"/>
                <w:rtl/>
              </w:rPr>
              <w:t xml:space="preserve"> מיום פרסומו</w:t>
            </w:r>
            <w:r>
              <w:rPr>
                <w:rFonts w:hint="cs"/>
                <w:rtl/>
              </w:rPr>
              <w:t>; ש</w:t>
            </w:r>
            <w:r w:rsidRPr="00173841">
              <w:rPr>
                <w:rtl/>
              </w:rPr>
              <w:t>ר המשפטים</w:t>
            </w:r>
            <w:r>
              <w:rPr>
                <w:rFonts w:hint="cs"/>
                <w:rtl/>
              </w:rPr>
              <w:t>, באישור ועדת הכלכלה של הכנסת,</w:t>
            </w:r>
            <w:r w:rsidRPr="00173841">
              <w:rPr>
                <w:rtl/>
              </w:rPr>
              <w:t xml:space="preserve"> רשאי, בצו, לדחות מועד זה לתקופה שלא תעלה על שישה חודשי</w:t>
            </w:r>
            <w:r>
              <w:rPr>
                <w:rFonts w:hint="cs"/>
                <w:rtl/>
              </w:rPr>
              <w:t>ם.</w:t>
            </w:r>
          </w:p>
        </w:tc>
      </w:tr>
      <w:tr w:rsidR="00C42AFA">
        <w:trPr>
          <w:cantSplit/>
          <w:trHeight w:val="60"/>
        </w:trPr>
        <w:tc>
          <w:tcPr>
            <w:tcW w:w="1871" w:type="dxa"/>
          </w:tcPr>
          <w:p w:rsidR="00C42AFA" w:rsidRDefault="00C42AFA" w:rsidP="00C42AFA">
            <w:pPr>
              <w:pStyle w:val="TableSideHeading"/>
              <w:keepLines w:val="0"/>
            </w:pPr>
            <w:bookmarkStart w:id="105" w:name="_Toc74773799"/>
            <w:bookmarkStart w:id="106" w:name="_Toc75433177"/>
            <w:r>
              <w:rPr>
                <w:rFonts w:hint="cs"/>
                <w:rtl/>
              </w:rPr>
              <w:t>תחולה והוראת מעבר</w:t>
            </w:r>
            <w:bookmarkEnd w:id="105"/>
            <w:bookmarkEnd w:id="106"/>
          </w:p>
        </w:tc>
        <w:tc>
          <w:tcPr>
            <w:tcW w:w="624" w:type="dxa"/>
          </w:tcPr>
          <w:p w:rsidR="00C42AFA" w:rsidRDefault="00C42AFA" w:rsidP="00C42AFA">
            <w:pPr>
              <w:pStyle w:val="TableText"/>
              <w:keepLines w:val="0"/>
              <w:numPr>
                <w:ilvl w:val="0"/>
                <w:numId w:val="3"/>
              </w:numPr>
            </w:pPr>
          </w:p>
        </w:tc>
        <w:tc>
          <w:tcPr>
            <w:tcW w:w="7146" w:type="dxa"/>
            <w:gridSpan w:val="5"/>
          </w:tcPr>
          <w:p w:rsidR="00C42AFA" w:rsidRPr="00C34DE2" w:rsidRDefault="00C42AFA" w:rsidP="002D01EE">
            <w:pPr>
              <w:pStyle w:val="TableBlock"/>
              <w:numPr>
                <w:ilvl w:val="0"/>
                <w:numId w:val="42"/>
              </w:numPr>
              <w:tabs>
                <w:tab w:val="left" w:pos="624"/>
              </w:tabs>
            </w:pPr>
            <w:r>
              <w:rPr>
                <w:rFonts w:hint="cs"/>
                <w:rtl/>
              </w:rPr>
              <w:t>הוראות חוק זה לא יחולו על הודעת תשלום קנס, בהתאם לסעיף 228 לחוק סדר הדין הפלילי, שניתנו לפני מועד התחילה.</w:t>
            </w:r>
          </w:p>
        </w:tc>
      </w:tr>
      <w:tr w:rsidR="00C42AFA">
        <w:trPr>
          <w:cantSplit/>
          <w:trHeight w:val="60"/>
        </w:trPr>
        <w:tc>
          <w:tcPr>
            <w:tcW w:w="1871" w:type="dxa"/>
          </w:tcPr>
          <w:p w:rsidR="00C42AFA" w:rsidRDefault="00C42AFA" w:rsidP="00C42AFA">
            <w:pPr>
              <w:pStyle w:val="TableSideHeading"/>
              <w:keepLines w:val="0"/>
              <w:rPr>
                <w:rtl/>
              </w:rPr>
            </w:pPr>
          </w:p>
        </w:tc>
        <w:tc>
          <w:tcPr>
            <w:tcW w:w="624" w:type="dxa"/>
          </w:tcPr>
          <w:p w:rsidR="00C42AFA" w:rsidRDefault="00C42AFA" w:rsidP="00C42AFA">
            <w:pPr>
              <w:pStyle w:val="TableText"/>
            </w:pPr>
          </w:p>
        </w:tc>
        <w:tc>
          <w:tcPr>
            <w:tcW w:w="7146" w:type="dxa"/>
            <w:gridSpan w:val="5"/>
          </w:tcPr>
          <w:p w:rsidR="00C42AFA" w:rsidRDefault="00C42AFA" w:rsidP="002D01EE">
            <w:pPr>
              <w:pStyle w:val="TableBlock"/>
              <w:numPr>
                <w:ilvl w:val="0"/>
                <w:numId w:val="42"/>
              </w:numPr>
              <w:tabs>
                <w:tab w:val="left" w:pos="624"/>
              </w:tabs>
              <w:rPr>
                <w:rtl/>
              </w:rPr>
            </w:pPr>
            <w:r w:rsidRPr="004E034A">
              <w:rPr>
                <w:rtl/>
              </w:rPr>
              <w:t xml:space="preserve">כל עוד לא </w:t>
            </w:r>
            <w:r w:rsidRPr="004E034A">
              <w:rPr>
                <w:rFonts w:hint="cs"/>
                <w:rtl/>
              </w:rPr>
              <w:t>נקבעו הוראות לפי סעיף 2(ג)</w:t>
            </w:r>
            <w:r w:rsidRPr="004E034A">
              <w:rPr>
                <w:rtl/>
              </w:rPr>
              <w:t xml:space="preserve">, </w:t>
            </w:r>
            <w:r w:rsidRPr="00164BF6">
              <w:rPr>
                <w:rtl/>
              </w:rPr>
              <w:t xml:space="preserve">יראו </w:t>
            </w:r>
            <w:r w:rsidRPr="00164BF6">
              <w:rPr>
                <w:sz w:val="32"/>
                <w:rtl/>
              </w:rPr>
              <w:t>בהוראות בדבר נסיבות מחמירות של עבירות קנס, התשנ"ד-1993</w:t>
            </w:r>
            <w:r w:rsidRPr="00164BF6">
              <w:rPr>
                <w:rStyle w:val="a9"/>
                <w:rFonts w:ascii="David" w:hAnsi="David"/>
                <w:sz w:val="32"/>
                <w:rtl/>
              </w:rPr>
              <w:footnoteReference w:id="20"/>
            </w:r>
            <w:r w:rsidRPr="00164BF6">
              <w:rPr>
                <w:sz w:val="32"/>
                <w:rtl/>
              </w:rPr>
              <w:t xml:space="preserve"> ובהוראות בדבר נסיבות מחמירות של עבירות קנס, התשס"ט-2008</w:t>
            </w:r>
            <w:r w:rsidRPr="00164BF6">
              <w:rPr>
                <w:rStyle w:val="a9"/>
                <w:rFonts w:ascii="David" w:hAnsi="David"/>
                <w:rtl/>
              </w:rPr>
              <w:footnoteReference w:id="21"/>
            </w:r>
            <w:r w:rsidRPr="00164BF6">
              <w:rPr>
                <w:rtl/>
              </w:rPr>
              <w:t xml:space="preserve"> </w:t>
            </w:r>
            <w:r w:rsidRPr="004E034A">
              <w:rPr>
                <w:rFonts w:hint="cs"/>
                <w:rtl/>
              </w:rPr>
              <w:t>כהוראות לעניין "</w:t>
            </w:r>
            <w:r w:rsidRPr="004E034A">
              <w:rPr>
                <w:rStyle w:val="default"/>
                <w:rFonts w:asciiTheme="minorBidi" w:hAnsiTheme="minorBidi"/>
                <w:rtl/>
              </w:rPr>
              <w:t>נסיבות מחמירות</w:t>
            </w:r>
            <w:r w:rsidRPr="004E034A">
              <w:rPr>
                <w:rStyle w:val="default"/>
                <w:rFonts w:asciiTheme="minorBidi" w:hAnsiTheme="minorBidi" w:hint="cs"/>
                <w:rtl/>
              </w:rPr>
              <w:t>" לפי חוק זה</w:t>
            </w:r>
            <w:r w:rsidRPr="004E034A">
              <w:rPr>
                <w:rFonts w:hint="cs"/>
                <w:rtl/>
              </w:rPr>
              <w:t>.</w:t>
            </w:r>
          </w:p>
        </w:tc>
      </w:tr>
      <w:tr w:rsidR="00C42AFA">
        <w:trPr>
          <w:cantSplit/>
          <w:trHeight w:val="60"/>
        </w:trPr>
        <w:tc>
          <w:tcPr>
            <w:tcW w:w="1871" w:type="dxa"/>
          </w:tcPr>
          <w:p w:rsidR="00C42AFA" w:rsidRDefault="00C42AFA" w:rsidP="00C42AFA">
            <w:pPr>
              <w:pStyle w:val="TableSideHeading"/>
              <w:keepLines w:val="0"/>
              <w:rPr>
                <w:rtl/>
              </w:rPr>
            </w:pPr>
          </w:p>
        </w:tc>
        <w:tc>
          <w:tcPr>
            <w:tcW w:w="624" w:type="dxa"/>
          </w:tcPr>
          <w:p w:rsidR="00C42AFA" w:rsidRDefault="00C42AFA" w:rsidP="00C42AFA">
            <w:pPr>
              <w:pStyle w:val="TableText"/>
            </w:pPr>
          </w:p>
        </w:tc>
        <w:tc>
          <w:tcPr>
            <w:tcW w:w="7146" w:type="dxa"/>
            <w:gridSpan w:val="5"/>
          </w:tcPr>
          <w:p w:rsidR="00C42AFA" w:rsidRPr="004E034A" w:rsidRDefault="00C42AFA" w:rsidP="002D01EE">
            <w:pPr>
              <w:pStyle w:val="TableBlock"/>
              <w:numPr>
                <w:ilvl w:val="0"/>
                <w:numId w:val="42"/>
              </w:numPr>
              <w:tabs>
                <w:tab w:val="left" w:pos="624"/>
              </w:tabs>
              <w:rPr>
                <w:rtl/>
              </w:rPr>
            </w:pPr>
            <w:r>
              <w:rPr>
                <w:rFonts w:hint="cs"/>
                <w:rtl/>
              </w:rPr>
              <w:t xml:space="preserve">שוטר יהיה </w:t>
            </w:r>
            <w:r w:rsidRPr="00282A0F">
              <w:rPr>
                <w:rtl/>
              </w:rPr>
              <w:t>מוסמ</w:t>
            </w:r>
            <w:r>
              <w:rPr>
                <w:rtl/>
              </w:rPr>
              <w:t>ך להפעיל את סמכויותיו מכוח ח</w:t>
            </w:r>
            <w:r>
              <w:rPr>
                <w:rFonts w:hint="cs"/>
                <w:rtl/>
              </w:rPr>
              <w:t>וק זה גם</w:t>
            </w:r>
            <w:r w:rsidRPr="00282A0F">
              <w:rPr>
                <w:rtl/>
              </w:rPr>
              <w:t xml:space="preserve"> נגד ישראלי</w:t>
            </w:r>
            <w:r>
              <w:rPr>
                <w:rFonts w:hint="cs"/>
                <w:rtl/>
              </w:rPr>
              <w:t xml:space="preserve"> שביצע הפרת תעבורה באזור</w:t>
            </w:r>
            <w:r w:rsidRPr="00491775">
              <w:rPr>
                <w:rtl/>
              </w:rPr>
              <w:t>; לעניין זה, "אזור" ו</w:t>
            </w:r>
            <w:r>
              <w:rPr>
                <w:rFonts w:hint="cs"/>
                <w:rtl/>
              </w:rPr>
              <w:t>-</w:t>
            </w:r>
            <w:r w:rsidRPr="00491775">
              <w:rPr>
                <w:rtl/>
              </w:rPr>
              <w:t>"ישראלי" – כהגדרתם בתקנות שעת חירום (יהודה והשומרון – שיפוט בעבירות ועזרה משפטית), התשכ"ז-1967,</w:t>
            </w:r>
            <w:r>
              <w:rPr>
                <w:rStyle w:val="a9"/>
                <w:rtl/>
              </w:rPr>
              <w:footnoteReference w:id="22"/>
            </w:r>
            <w:r w:rsidRPr="00491775">
              <w:rPr>
                <w:rtl/>
              </w:rPr>
              <w:t xml:space="preserve"> כפי שהוארך תוקפן ותוקן נוסחן בחוק מעת לעת.</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7146" w:type="dxa"/>
            <w:gridSpan w:val="5"/>
          </w:tcPr>
          <w:p w:rsidR="00C42AFA" w:rsidRPr="00C34DE2" w:rsidRDefault="00C42AFA" w:rsidP="00C42AFA">
            <w:pPr>
              <w:pStyle w:val="TableHead"/>
            </w:pPr>
            <w:bookmarkStart w:id="107" w:name="_Toc74773800"/>
            <w:bookmarkStart w:id="108" w:name="_Toc75433178"/>
            <w:r>
              <w:rPr>
                <w:rFonts w:hint="cs"/>
                <w:rtl/>
              </w:rPr>
              <w:t>תוספת ראשונה</w:t>
            </w:r>
            <w:bookmarkEnd w:id="107"/>
            <w:bookmarkEnd w:id="108"/>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7146" w:type="dxa"/>
            <w:gridSpan w:val="5"/>
          </w:tcPr>
          <w:p w:rsidR="00C42AFA" w:rsidRPr="007B09A1" w:rsidRDefault="00C42AFA" w:rsidP="00C42AFA">
            <w:pPr>
              <w:pStyle w:val="TableHead"/>
              <w:rPr>
                <w:b w:val="0"/>
                <w:bCs w:val="0"/>
              </w:rPr>
            </w:pPr>
            <w:bookmarkStart w:id="109" w:name="_Toc74773801"/>
            <w:bookmarkStart w:id="110" w:name="_Toc74773933"/>
            <w:bookmarkStart w:id="111" w:name="_Toc75433179"/>
            <w:r>
              <w:rPr>
                <w:rFonts w:hint="cs"/>
                <w:b w:val="0"/>
                <w:bCs w:val="0"/>
                <w:rtl/>
              </w:rPr>
              <w:t>(סעיף 2)</w:t>
            </w:r>
            <w:bookmarkEnd w:id="109"/>
            <w:bookmarkEnd w:id="110"/>
            <w:bookmarkEnd w:id="111"/>
          </w:p>
        </w:tc>
      </w:tr>
      <w:tr w:rsidR="00C42AFA" w:rsidTr="007B09A1">
        <w:trPr>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7146" w:type="dxa"/>
            <w:gridSpan w:val="5"/>
          </w:tcPr>
          <w:tbl>
            <w:tblPr>
              <w:tblStyle w:val="af2"/>
              <w:bidiVisual/>
              <w:tblW w:w="7030" w:type="dxa"/>
              <w:jc w:val="center"/>
              <w:tblLayout w:type="fixed"/>
              <w:tblLook w:val="05E0" w:firstRow="1" w:lastRow="1" w:firstColumn="1" w:lastColumn="1" w:noHBand="0" w:noVBand="1"/>
            </w:tblPr>
            <w:tblGrid>
              <w:gridCol w:w="3515"/>
              <w:gridCol w:w="3515"/>
            </w:tblGrid>
            <w:tr w:rsidR="00C42AFA" w:rsidTr="007B09A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568"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rsidR="00C42AFA" w:rsidRPr="007B09A1" w:rsidRDefault="00C42AFA" w:rsidP="005B4A40">
                  <w:pPr>
                    <w:pStyle w:val="TableBlock"/>
                    <w:rPr>
                      <w:rFonts w:ascii="David" w:hAnsi="David"/>
                      <w:rtl/>
                    </w:rPr>
                  </w:pPr>
                  <w:r w:rsidRPr="007B09A1">
                    <w:rPr>
                      <w:rFonts w:ascii="David" w:hAnsi="David"/>
                      <w:rtl/>
                    </w:rPr>
                    <w:t xml:space="preserve">טור א' – דרגת </w:t>
                  </w:r>
                  <w:r w:rsidR="005B4A40">
                    <w:rPr>
                      <w:rFonts w:ascii="David" w:hAnsi="David" w:hint="cs"/>
                      <w:rtl/>
                    </w:rPr>
                    <w:t>קנס ההפרה</w:t>
                  </w:r>
                </w:p>
              </w:tc>
              <w:tc>
                <w:tcPr>
                  <w:cnfStyle w:val="000100000000" w:firstRow="0" w:lastRow="0" w:firstColumn="0" w:lastColumn="1" w:oddVBand="0" w:evenVBand="0" w:oddHBand="0" w:evenHBand="0" w:firstRowFirstColumn="0" w:firstRowLastColumn="0" w:lastRowFirstColumn="0" w:lastRowLastColumn="0"/>
                  <w:tcW w:w="3568"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rsidR="00C42AFA" w:rsidRPr="007B09A1" w:rsidRDefault="00C42AFA" w:rsidP="00C42AFA">
                  <w:pPr>
                    <w:pStyle w:val="TableBlock"/>
                    <w:rPr>
                      <w:rFonts w:ascii="David" w:hAnsi="David"/>
                      <w:rtl/>
                    </w:rPr>
                  </w:pPr>
                  <w:r w:rsidRPr="007B09A1">
                    <w:rPr>
                      <w:rFonts w:ascii="David" w:hAnsi="David"/>
                      <w:rtl/>
                    </w:rPr>
                    <w:t>טור ב' – בשקלים חדשים</w:t>
                  </w:r>
                </w:p>
              </w:tc>
            </w:tr>
            <w:tr w:rsidR="00C42AFA" w:rsidTr="007B09A1">
              <w:trPr>
                <w:jc w:val="center"/>
              </w:trPr>
              <w:tc>
                <w:tcPr>
                  <w:cnfStyle w:val="001000000000" w:firstRow="0" w:lastRow="0" w:firstColumn="1" w:lastColumn="0" w:oddVBand="0" w:evenVBand="0" w:oddHBand="0" w:evenHBand="0" w:firstRowFirstColumn="0" w:firstRowLastColumn="0" w:lastRowFirstColumn="0" w:lastRowLastColumn="0"/>
                  <w:tcW w:w="3568" w:type="dxa"/>
                </w:tcPr>
                <w:p w:rsidR="00C42AFA" w:rsidRPr="007B09A1" w:rsidRDefault="00C42AFA" w:rsidP="00C42AFA">
                  <w:pPr>
                    <w:pStyle w:val="TableBlock"/>
                    <w:rPr>
                      <w:rFonts w:ascii="David" w:hAnsi="David" w:cs="David"/>
                      <w:rtl/>
                    </w:rPr>
                  </w:pPr>
                  <w:r w:rsidRPr="007B09A1">
                    <w:rPr>
                      <w:rFonts w:ascii="David" w:hAnsi="David" w:cs="David"/>
                      <w:rtl/>
                    </w:rPr>
                    <w:t>א</w:t>
                  </w:r>
                </w:p>
              </w:tc>
              <w:tc>
                <w:tcPr>
                  <w:cnfStyle w:val="000100000000" w:firstRow="0" w:lastRow="0" w:firstColumn="0" w:lastColumn="1" w:oddVBand="0" w:evenVBand="0" w:oddHBand="0" w:evenHBand="0" w:firstRowFirstColumn="0" w:firstRowLastColumn="0" w:lastRowFirstColumn="0" w:lastRowLastColumn="0"/>
                  <w:tcW w:w="3568" w:type="dxa"/>
                </w:tcPr>
                <w:p w:rsidR="00C42AFA" w:rsidRPr="007B09A1" w:rsidRDefault="00C42AFA" w:rsidP="00C42AFA">
                  <w:pPr>
                    <w:pStyle w:val="TableBlock"/>
                    <w:rPr>
                      <w:rFonts w:ascii="David" w:hAnsi="David" w:cs="David"/>
                      <w:rtl/>
                    </w:rPr>
                  </w:pPr>
                  <w:r w:rsidRPr="007B09A1">
                    <w:rPr>
                      <w:rFonts w:ascii="David" w:hAnsi="David" w:cs="David"/>
                      <w:rtl/>
                    </w:rPr>
                    <w:t>100</w:t>
                  </w:r>
                </w:p>
              </w:tc>
            </w:tr>
            <w:tr w:rsidR="00C42AFA" w:rsidTr="007B09A1">
              <w:trPr>
                <w:jc w:val="center"/>
              </w:trPr>
              <w:tc>
                <w:tcPr>
                  <w:cnfStyle w:val="001000000000" w:firstRow="0" w:lastRow="0" w:firstColumn="1" w:lastColumn="0" w:oddVBand="0" w:evenVBand="0" w:oddHBand="0" w:evenHBand="0" w:firstRowFirstColumn="0" w:firstRowLastColumn="0" w:lastRowFirstColumn="0" w:lastRowLastColumn="0"/>
                  <w:tcW w:w="3568" w:type="dxa"/>
                </w:tcPr>
                <w:p w:rsidR="00C42AFA" w:rsidRPr="007B09A1" w:rsidRDefault="00C42AFA" w:rsidP="00C42AFA">
                  <w:pPr>
                    <w:pStyle w:val="TableBlock"/>
                    <w:rPr>
                      <w:rFonts w:ascii="David" w:hAnsi="David" w:cs="David"/>
                      <w:rtl/>
                    </w:rPr>
                  </w:pPr>
                  <w:r w:rsidRPr="007B09A1">
                    <w:rPr>
                      <w:rFonts w:ascii="David" w:hAnsi="David" w:cs="David"/>
                      <w:rtl/>
                    </w:rPr>
                    <w:t>ב</w:t>
                  </w:r>
                </w:p>
              </w:tc>
              <w:tc>
                <w:tcPr>
                  <w:cnfStyle w:val="000100000000" w:firstRow="0" w:lastRow="0" w:firstColumn="0" w:lastColumn="1" w:oddVBand="0" w:evenVBand="0" w:oddHBand="0" w:evenHBand="0" w:firstRowFirstColumn="0" w:firstRowLastColumn="0" w:lastRowFirstColumn="0" w:lastRowLastColumn="0"/>
                  <w:tcW w:w="3568" w:type="dxa"/>
                </w:tcPr>
                <w:p w:rsidR="00C42AFA" w:rsidRPr="007B09A1" w:rsidRDefault="00C42AFA" w:rsidP="00C42AFA">
                  <w:pPr>
                    <w:pStyle w:val="TableBlock"/>
                    <w:rPr>
                      <w:rFonts w:ascii="David" w:hAnsi="David" w:cs="David"/>
                      <w:rtl/>
                    </w:rPr>
                  </w:pPr>
                  <w:r w:rsidRPr="007B09A1">
                    <w:rPr>
                      <w:rFonts w:ascii="David" w:hAnsi="David" w:cs="David"/>
                      <w:rtl/>
                    </w:rPr>
                    <w:t>250</w:t>
                  </w:r>
                </w:p>
              </w:tc>
            </w:tr>
            <w:tr w:rsidR="00C42AFA" w:rsidTr="007B09A1">
              <w:trPr>
                <w:jc w:val="center"/>
              </w:trPr>
              <w:tc>
                <w:tcPr>
                  <w:cnfStyle w:val="001000000000" w:firstRow="0" w:lastRow="0" w:firstColumn="1" w:lastColumn="0" w:oddVBand="0" w:evenVBand="0" w:oddHBand="0" w:evenHBand="0" w:firstRowFirstColumn="0" w:firstRowLastColumn="0" w:lastRowFirstColumn="0" w:lastRowLastColumn="0"/>
                  <w:tcW w:w="3568" w:type="dxa"/>
                </w:tcPr>
                <w:p w:rsidR="00C42AFA" w:rsidRPr="007B09A1" w:rsidRDefault="00C42AFA" w:rsidP="00C42AFA">
                  <w:pPr>
                    <w:pStyle w:val="TableBlock"/>
                    <w:rPr>
                      <w:rFonts w:ascii="David" w:hAnsi="David" w:cs="David"/>
                      <w:rtl/>
                    </w:rPr>
                  </w:pPr>
                  <w:r w:rsidRPr="007B09A1">
                    <w:rPr>
                      <w:rFonts w:ascii="David" w:hAnsi="David" w:cs="David"/>
                      <w:rtl/>
                    </w:rPr>
                    <w:t>ג</w:t>
                  </w:r>
                </w:p>
              </w:tc>
              <w:tc>
                <w:tcPr>
                  <w:cnfStyle w:val="000100000000" w:firstRow="0" w:lastRow="0" w:firstColumn="0" w:lastColumn="1" w:oddVBand="0" w:evenVBand="0" w:oddHBand="0" w:evenHBand="0" w:firstRowFirstColumn="0" w:firstRowLastColumn="0" w:lastRowFirstColumn="0" w:lastRowLastColumn="0"/>
                  <w:tcW w:w="3568" w:type="dxa"/>
                </w:tcPr>
                <w:p w:rsidR="00C42AFA" w:rsidRPr="007B09A1" w:rsidRDefault="00C42AFA" w:rsidP="00C42AFA">
                  <w:pPr>
                    <w:pStyle w:val="TableBlock"/>
                    <w:rPr>
                      <w:rFonts w:ascii="David" w:hAnsi="David" w:cs="David"/>
                      <w:rtl/>
                    </w:rPr>
                  </w:pPr>
                  <w:r w:rsidRPr="007B09A1">
                    <w:rPr>
                      <w:rFonts w:ascii="David" w:hAnsi="David" w:cs="David"/>
                      <w:rtl/>
                    </w:rPr>
                    <w:t>500</w:t>
                  </w:r>
                </w:p>
              </w:tc>
            </w:tr>
            <w:tr w:rsidR="00C42AFA" w:rsidTr="007B09A1">
              <w:trPr>
                <w:jc w:val="center"/>
              </w:trPr>
              <w:tc>
                <w:tcPr>
                  <w:cnfStyle w:val="001000000000" w:firstRow="0" w:lastRow="0" w:firstColumn="1" w:lastColumn="0" w:oddVBand="0" w:evenVBand="0" w:oddHBand="0" w:evenHBand="0" w:firstRowFirstColumn="0" w:firstRowLastColumn="0" w:lastRowFirstColumn="0" w:lastRowLastColumn="0"/>
                  <w:tcW w:w="3568" w:type="dxa"/>
                </w:tcPr>
                <w:p w:rsidR="00C42AFA" w:rsidRPr="007B09A1" w:rsidRDefault="00C42AFA" w:rsidP="00C42AFA">
                  <w:pPr>
                    <w:pStyle w:val="TableBlock"/>
                    <w:rPr>
                      <w:rFonts w:ascii="David" w:hAnsi="David" w:cs="David"/>
                      <w:rtl/>
                    </w:rPr>
                  </w:pPr>
                  <w:r w:rsidRPr="007B09A1">
                    <w:rPr>
                      <w:rFonts w:ascii="David" w:hAnsi="David" w:cs="David"/>
                      <w:rtl/>
                    </w:rPr>
                    <w:t>ד</w:t>
                  </w:r>
                </w:p>
              </w:tc>
              <w:tc>
                <w:tcPr>
                  <w:cnfStyle w:val="000100000000" w:firstRow="0" w:lastRow="0" w:firstColumn="0" w:lastColumn="1" w:oddVBand="0" w:evenVBand="0" w:oddHBand="0" w:evenHBand="0" w:firstRowFirstColumn="0" w:firstRowLastColumn="0" w:lastRowFirstColumn="0" w:lastRowLastColumn="0"/>
                  <w:tcW w:w="3568" w:type="dxa"/>
                </w:tcPr>
                <w:p w:rsidR="00C42AFA" w:rsidRPr="007B09A1" w:rsidRDefault="00C42AFA" w:rsidP="00C42AFA">
                  <w:pPr>
                    <w:pStyle w:val="TableBlock"/>
                    <w:rPr>
                      <w:rFonts w:ascii="David" w:hAnsi="David" w:cs="David"/>
                      <w:rtl/>
                    </w:rPr>
                  </w:pPr>
                  <w:r w:rsidRPr="007B09A1">
                    <w:rPr>
                      <w:rFonts w:ascii="David" w:hAnsi="David" w:cs="David"/>
                      <w:rtl/>
                    </w:rPr>
                    <w:t>750</w:t>
                  </w:r>
                </w:p>
              </w:tc>
            </w:tr>
            <w:tr w:rsidR="00C42AFA" w:rsidTr="007B09A1">
              <w:trPr>
                <w:jc w:val="center"/>
              </w:trPr>
              <w:tc>
                <w:tcPr>
                  <w:cnfStyle w:val="001000000000" w:firstRow="0" w:lastRow="0" w:firstColumn="1" w:lastColumn="0" w:oddVBand="0" w:evenVBand="0" w:oddHBand="0" w:evenHBand="0" w:firstRowFirstColumn="0" w:firstRowLastColumn="0" w:lastRowFirstColumn="0" w:lastRowLastColumn="0"/>
                  <w:tcW w:w="3568" w:type="dxa"/>
                </w:tcPr>
                <w:p w:rsidR="00C42AFA" w:rsidRPr="007B09A1" w:rsidRDefault="00C42AFA" w:rsidP="00C42AFA">
                  <w:pPr>
                    <w:pStyle w:val="TableBlock"/>
                    <w:rPr>
                      <w:rFonts w:ascii="David" w:hAnsi="David" w:cs="David"/>
                      <w:rtl/>
                    </w:rPr>
                  </w:pPr>
                  <w:r w:rsidRPr="007B09A1">
                    <w:rPr>
                      <w:rFonts w:ascii="David" w:hAnsi="David" w:cs="David"/>
                      <w:rtl/>
                    </w:rPr>
                    <w:t>ה</w:t>
                  </w:r>
                </w:p>
              </w:tc>
              <w:tc>
                <w:tcPr>
                  <w:cnfStyle w:val="000100000000" w:firstRow="0" w:lastRow="0" w:firstColumn="0" w:lastColumn="1" w:oddVBand="0" w:evenVBand="0" w:oddHBand="0" w:evenHBand="0" w:firstRowFirstColumn="0" w:firstRowLastColumn="0" w:lastRowFirstColumn="0" w:lastRowLastColumn="0"/>
                  <w:tcW w:w="3568" w:type="dxa"/>
                </w:tcPr>
                <w:p w:rsidR="00C42AFA" w:rsidRPr="007B09A1" w:rsidRDefault="00C42AFA" w:rsidP="00C42AFA">
                  <w:pPr>
                    <w:pStyle w:val="TableBlock"/>
                    <w:rPr>
                      <w:rFonts w:ascii="David" w:hAnsi="David" w:cs="David"/>
                      <w:rtl/>
                    </w:rPr>
                  </w:pPr>
                  <w:r w:rsidRPr="007B09A1">
                    <w:rPr>
                      <w:rFonts w:ascii="David" w:hAnsi="David" w:cs="David"/>
                      <w:rtl/>
                    </w:rPr>
                    <w:t>1,000</w:t>
                  </w:r>
                </w:p>
              </w:tc>
            </w:tr>
            <w:tr w:rsidR="00C42AFA" w:rsidTr="007B09A1">
              <w:trPr>
                <w:jc w:val="center"/>
              </w:trPr>
              <w:tc>
                <w:tcPr>
                  <w:cnfStyle w:val="001000000000" w:firstRow="0" w:lastRow="0" w:firstColumn="1" w:lastColumn="0" w:oddVBand="0" w:evenVBand="0" w:oddHBand="0" w:evenHBand="0" w:firstRowFirstColumn="0" w:firstRowLastColumn="0" w:lastRowFirstColumn="0" w:lastRowLastColumn="0"/>
                  <w:tcW w:w="3568" w:type="dxa"/>
                </w:tcPr>
                <w:p w:rsidR="00C42AFA" w:rsidRPr="007B09A1" w:rsidRDefault="00C42AFA" w:rsidP="00C42AFA">
                  <w:pPr>
                    <w:pStyle w:val="TableBlock"/>
                    <w:rPr>
                      <w:rFonts w:ascii="David" w:hAnsi="David" w:cs="David"/>
                      <w:rtl/>
                    </w:rPr>
                  </w:pPr>
                  <w:r w:rsidRPr="007B09A1">
                    <w:rPr>
                      <w:rFonts w:ascii="David" w:hAnsi="David" w:cs="David"/>
                      <w:rtl/>
                    </w:rPr>
                    <w:t>ו</w:t>
                  </w:r>
                </w:p>
              </w:tc>
              <w:tc>
                <w:tcPr>
                  <w:cnfStyle w:val="000100000000" w:firstRow="0" w:lastRow="0" w:firstColumn="0" w:lastColumn="1" w:oddVBand="0" w:evenVBand="0" w:oddHBand="0" w:evenHBand="0" w:firstRowFirstColumn="0" w:firstRowLastColumn="0" w:lastRowFirstColumn="0" w:lastRowLastColumn="0"/>
                  <w:tcW w:w="3568" w:type="dxa"/>
                </w:tcPr>
                <w:p w:rsidR="00C42AFA" w:rsidRPr="007B09A1" w:rsidRDefault="00C42AFA" w:rsidP="00C42AFA">
                  <w:pPr>
                    <w:pStyle w:val="TableBlock"/>
                    <w:rPr>
                      <w:rFonts w:ascii="David" w:hAnsi="David" w:cs="David"/>
                      <w:rtl/>
                    </w:rPr>
                  </w:pPr>
                  <w:r w:rsidRPr="007B09A1">
                    <w:rPr>
                      <w:rFonts w:ascii="David" w:hAnsi="David" w:cs="David"/>
                      <w:rtl/>
                    </w:rPr>
                    <w:t>1,500</w:t>
                  </w:r>
                </w:p>
              </w:tc>
            </w:tr>
          </w:tbl>
          <w:p w:rsidR="00C42AFA" w:rsidRPr="00C34DE2" w:rsidRDefault="00C42AFA" w:rsidP="00C42AFA">
            <w:pPr>
              <w:pStyle w:val="TableBlock"/>
            </w:pP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7146" w:type="dxa"/>
            <w:gridSpan w:val="5"/>
          </w:tcPr>
          <w:p w:rsidR="00C42AFA" w:rsidRPr="00C34DE2" w:rsidRDefault="00C42AFA" w:rsidP="00C42AFA">
            <w:pPr>
              <w:pStyle w:val="TableHead"/>
            </w:pPr>
            <w:bookmarkStart w:id="112" w:name="_Toc74773802"/>
            <w:bookmarkStart w:id="113" w:name="_Toc75433180"/>
            <w:r>
              <w:rPr>
                <w:rFonts w:hint="cs"/>
                <w:rtl/>
              </w:rPr>
              <w:t>תוספת שנייה</w:t>
            </w:r>
            <w:bookmarkEnd w:id="112"/>
            <w:bookmarkEnd w:id="113"/>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7146" w:type="dxa"/>
            <w:gridSpan w:val="5"/>
          </w:tcPr>
          <w:p w:rsidR="00C42AFA" w:rsidRPr="00355703" w:rsidRDefault="00C42AFA" w:rsidP="00355703">
            <w:pPr>
              <w:pStyle w:val="TableHead"/>
              <w:outlineLvl w:val="9"/>
              <w:rPr>
                <w:b w:val="0"/>
                <w:bCs w:val="0"/>
              </w:rPr>
            </w:pPr>
            <w:bookmarkStart w:id="114" w:name="_Toc74773803"/>
            <w:bookmarkStart w:id="115" w:name="_Toc74773935"/>
            <w:bookmarkStart w:id="116" w:name="_Toc75433181"/>
            <w:r w:rsidRPr="00355703">
              <w:rPr>
                <w:rFonts w:hint="cs"/>
                <w:b w:val="0"/>
                <w:bCs w:val="0"/>
                <w:rtl/>
              </w:rPr>
              <w:t>(סעיף 2)</w:t>
            </w:r>
            <w:bookmarkEnd w:id="114"/>
            <w:bookmarkEnd w:id="115"/>
            <w:bookmarkEnd w:id="116"/>
          </w:p>
        </w:tc>
      </w:tr>
      <w:tr w:rsidR="00355703">
        <w:trPr>
          <w:cantSplit/>
          <w:trHeight w:val="60"/>
        </w:trPr>
        <w:tc>
          <w:tcPr>
            <w:tcW w:w="1871" w:type="dxa"/>
          </w:tcPr>
          <w:p w:rsidR="00355703" w:rsidRDefault="00355703">
            <w:pPr>
              <w:pStyle w:val="TableSideHeading"/>
            </w:pPr>
          </w:p>
        </w:tc>
        <w:tc>
          <w:tcPr>
            <w:tcW w:w="624" w:type="dxa"/>
          </w:tcPr>
          <w:p w:rsidR="00355703" w:rsidRDefault="00355703">
            <w:pPr>
              <w:pStyle w:val="TableText"/>
            </w:pPr>
          </w:p>
        </w:tc>
        <w:tc>
          <w:tcPr>
            <w:tcW w:w="624" w:type="dxa"/>
          </w:tcPr>
          <w:p w:rsidR="00355703" w:rsidRDefault="00355703" w:rsidP="00355703">
            <w:pPr>
              <w:pStyle w:val="TableText"/>
              <w:numPr>
                <w:ilvl w:val="0"/>
                <w:numId w:val="54"/>
              </w:numPr>
            </w:pPr>
          </w:p>
        </w:tc>
        <w:tc>
          <w:tcPr>
            <w:tcW w:w="6522" w:type="dxa"/>
            <w:gridSpan w:val="4"/>
          </w:tcPr>
          <w:p w:rsidR="00355703" w:rsidRDefault="00355703">
            <w:pPr>
              <w:pStyle w:val="TableBlock"/>
            </w:pPr>
            <w:r>
              <w:rPr>
                <w:rFonts w:hint="cs"/>
                <w:rtl/>
              </w:rPr>
              <w:t>הפרות לפי פקודת התעבורה:</w:t>
            </w:r>
          </w:p>
        </w:tc>
      </w:tr>
      <w:tr w:rsidR="00C42AFA">
        <w:trPr>
          <w:cantSplit/>
          <w:trHeight w:val="60"/>
        </w:trPr>
        <w:tc>
          <w:tcPr>
            <w:tcW w:w="1871" w:type="dxa"/>
          </w:tcPr>
          <w:p w:rsidR="00C42AFA" w:rsidRDefault="00C42AFA" w:rsidP="00C42AFA">
            <w:pPr>
              <w:pStyle w:val="TableSideHeading"/>
              <w:keepLines w:val="0"/>
            </w:pPr>
          </w:p>
        </w:tc>
        <w:tc>
          <w:tcPr>
            <w:tcW w:w="624" w:type="dxa"/>
          </w:tcPr>
          <w:p w:rsidR="00C42AFA" w:rsidRDefault="00C42AFA" w:rsidP="00C42AFA">
            <w:pPr>
              <w:pStyle w:val="TableText"/>
              <w:keepLines w:val="0"/>
              <w:tabs>
                <w:tab w:val="clear" w:pos="624"/>
              </w:tabs>
            </w:pPr>
          </w:p>
        </w:tc>
        <w:tc>
          <w:tcPr>
            <w:tcW w:w="7146" w:type="dxa"/>
            <w:gridSpan w:val="5"/>
          </w:tcPr>
          <w:tbl>
            <w:tblPr>
              <w:tblStyle w:val="af2"/>
              <w:bidiVisual/>
              <w:tblW w:w="7225" w:type="dxa"/>
              <w:jc w:val="center"/>
              <w:tblLayout w:type="fixed"/>
              <w:tblLook w:val="05E0" w:firstRow="1" w:lastRow="1" w:firstColumn="1" w:lastColumn="1" w:noHBand="0" w:noVBand="1"/>
            </w:tblPr>
            <w:tblGrid>
              <w:gridCol w:w="664"/>
              <w:gridCol w:w="1279"/>
              <w:gridCol w:w="4578"/>
              <w:gridCol w:w="704"/>
            </w:tblGrid>
            <w:tr w:rsidR="00355703" w:rsidRPr="00355703" w:rsidTr="00EC018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64" w:type="dxa"/>
                  <w:tcBorders>
                    <w:top w:val="none" w:sz="0" w:space="0" w:color="auto"/>
                    <w:bottom w:val="none" w:sz="0" w:space="0" w:color="auto"/>
                  </w:tcBorders>
                </w:tcPr>
                <w:p w:rsidR="00355703" w:rsidRPr="00355703" w:rsidRDefault="00355703" w:rsidP="00355703">
                  <w:pPr>
                    <w:pStyle w:val="TableHead"/>
                    <w:outlineLvl w:val="9"/>
                    <w:rPr>
                      <w:b w:val="0"/>
                      <w:bCs/>
                      <w:rtl/>
                    </w:rPr>
                  </w:pPr>
                  <w:r w:rsidRPr="00355703">
                    <w:rPr>
                      <w:b w:val="0"/>
                      <w:bCs/>
                      <w:rtl/>
                    </w:rPr>
                    <w:t>מספר סידורי</w:t>
                  </w:r>
                </w:p>
              </w:tc>
              <w:tc>
                <w:tcPr>
                  <w:tcW w:w="1279" w:type="dxa"/>
                  <w:tcBorders>
                    <w:top w:val="none" w:sz="0" w:space="0" w:color="auto"/>
                    <w:bottom w:val="none" w:sz="0" w:space="0" w:color="auto"/>
                  </w:tcBorders>
                </w:tcPr>
                <w:p w:rsidR="00355703" w:rsidRPr="00355703" w:rsidRDefault="00355703" w:rsidP="00355703">
                  <w:pPr>
                    <w:pStyle w:val="TableHead"/>
                    <w:outlineLvl w:val="9"/>
                    <w:cnfStyle w:val="100000000000" w:firstRow="1" w:lastRow="0" w:firstColumn="0" w:lastColumn="0" w:oddVBand="0" w:evenVBand="0" w:oddHBand="0" w:evenHBand="0" w:firstRowFirstColumn="0" w:firstRowLastColumn="0" w:lastRowFirstColumn="0" w:lastRowLastColumn="0"/>
                    <w:rPr>
                      <w:b w:val="0"/>
                      <w:bCs/>
                      <w:rtl/>
                    </w:rPr>
                  </w:pPr>
                  <w:r w:rsidRPr="00355703">
                    <w:rPr>
                      <w:b w:val="0"/>
                      <w:bCs/>
                      <w:rtl/>
                    </w:rPr>
                    <w:t>מספר הסעיף</w:t>
                  </w:r>
                </w:p>
              </w:tc>
              <w:tc>
                <w:tcPr>
                  <w:tcW w:w="4578" w:type="dxa"/>
                  <w:tcBorders>
                    <w:top w:val="none" w:sz="0" w:space="0" w:color="auto"/>
                    <w:bottom w:val="none" w:sz="0" w:space="0" w:color="auto"/>
                  </w:tcBorders>
                </w:tcPr>
                <w:p w:rsidR="00355703" w:rsidRPr="00355703" w:rsidRDefault="00355703" w:rsidP="00355703">
                  <w:pPr>
                    <w:pStyle w:val="TableHead"/>
                    <w:cnfStyle w:val="100000000000" w:firstRow="1" w:lastRow="0" w:firstColumn="0" w:lastColumn="0" w:oddVBand="0" w:evenVBand="0" w:oddHBand="0" w:evenHBand="0" w:firstRowFirstColumn="0" w:firstRowLastColumn="0" w:lastRowFirstColumn="0" w:lastRowLastColumn="0"/>
                    <w:rPr>
                      <w:b w:val="0"/>
                      <w:bCs/>
                      <w:rtl/>
                    </w:rPr>
                  </w:pPr>
                  <w:r w:rsidRPr="00355703">
                    <w:rPr>
                      <w:b w:val="0"/>
                      <w:bCs/>
                      <w:rtl/>
                    </w:rPr>
                    <w:t>פריט נוסף לעבירה</w:t>
                  </w:r>
                </w:p>
              </w:tc>
              <w:tc>
                <w:tcPr>
                  <w:cnfStyle w:val="000100000000" w:firstRow="0" w:lastRow="0" w:firstColumn="0" w:lastColumn="1" w:oddVBand="0" w:evenVBand="0" w:oddHBand="0" w:evenHBand="0" w:firstRowFirstColumn="0" w:firstRowLastColumn="0" w:lastRowFirstColumn="0" w:lastRowLastColumn="0"/>
                  <w:tcW w:w="704" w:type="dxa"/>
                  <w:tcBorders>
                    <w:top w:val="none" w:sz="0" w:space="0" w:color="auto"/>
                    <w:bottom w:val="none" w:sz="0" w:space="0" w:color="auto"/>
                  </w:tcBorders>
                </w:tcPr>
                <w:p w:rsidR="00355703" w:rsidRPr="00355703" w:rsidRDefault="00355703" w:rsidP="00355703">
                  <w:pPr>
                    <w:pStyle w:val="TableHead"/>
                    <w:rPr>
                      <w:b w:val="0"/>
                      <w:bCs/>
                      <w:rtl/>
                    </w:rPr>
                  </w:pPr>
                  <w:r w:rsidRPr="00355703">
                    <w:rPr>
                      <w:b w:val="0"/>
                      <w:bCs/>
                      <w:rtl/>
                    </w:rPr>
                    <w:t>דרגת קנס</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664" w:type="dxa"/>
                </w:tcPr>
                <w:p w:rsidR="00355703" w:rsidRPr="00EC0181" w:rsidRDefault="00EC0181" w:rsidP="00EC0181">
                  <w:pPr>
                    <w:pStyle w:val="TableBlock"/>
                    <w:rPr>
                      <w:rFonts w:ascii="David" w:hAnsi="David" w:cs="David"/>
                      <w:rtl/>
                    </w:rPr>
                  </w:pPr>
                  <w:r>
                    <w:rPr>
                      <w:rFonts w:ascii="David" w:hAnsi="David" w:cs="David" w:hint="cs"/>
                      <w:rtl/>
                    </w:rPr>
                    <w:t xml:space="preserve"> </w:t>
                  </w:r>
                  <w:r w:rsidR="00355703" w:rsidRPr="00EC0181">
                    <w:rPr>
                      <w:rFonts w:ascii="David" w:hAnsi="David" w:cs="David"/>
                      <w:rtl/>
                    </w:rPr>
                    <w:t>1</w:t>
                  </w:r>
                </w:p>
              </w:tc>
              <w:tc>
                <w:tcPr>
                  <w:tcW w:w="1279" w:type="dxa"/>
                </w:tcPr>
                <w:p w:rsidR="00355703" w:rsidRPr="00EC0181" w:rsidRDefault="00355703" w:rsidP="00EC0181">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EC0181">
                    <w:rPr>
                      <w:rFonts w:ascii="David" w:hAnsi="David" w:cs="David"/>
                      <w:rtl/>
                    </w:rPr>
                    <w:t>2</w:t>
                  </w:r>
                </w:p>
              </w:tc>
              <w:tc>
                <w:tcPr>
                  <w:tcW w:w="4578" w:type="dxa"/>
                </w:tcPr>
                <w:p w:rsidR="00355703" w:rsidRPr="00EC0181" w:rsidRDefault="00355703" w:rsidP="00EC0181">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EC0181">
                    <w:rPr>
                      <w:rFonts w:ascii="David" w:hAnsi="David" w:cs="David"/>
                      <w:rtl/>
                    </w:rPr>
                    <w:t>כשרישיון הרכב פקע – עד 4 חודשים מיום פקיעתו</w:t>
                  </w:r>
                </w:p>
              </w:tc>
              <w:tc>
                <w:tcPr>
                  <w:cnfStyle w:val="000100000000" w:firstRow="0" w:lastRow="0" w:firstColumn="0" w:lastColumn="1" w:oddVBand="0" w:evenVBand="0" w:oddHBand="0" w:evenHBand="0" w:firstRowFirstColumn="0" w:firstRowLastColumn="0" w:lastRowFirstColumn="0" w:lastRowLastColumn="0"/>
                  <w:tcW w:w="704" w:type="dxa"/>
                </w:tcPr>
                <w:p w:rsidR="00355703" w:rsidRPr="00EC0181" w:rsidRDefault="00355703" w:rsidP="00EC0181">
                  <w:pPr>
                    <w:pStyle w:val="TableBlock"/>
                    <w:rPr>
                      <w:rFonts w:ascii="David" w:hAnsi="David" w:cs="David"/>
                      <w:rtl/>
                    </w:rPr>
                  </w:pPr>
                  <w:r w:rsidRPr="00EC0181">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664" w:type="dxa"/>
                </w:tcPr>
                <w:p w:rsidR="00355703" w:rsidRPr="00EC0181" w:rsidRDefault="00EC0181" w:rsidP="00EC0181">
                  <w:pPr>
                    <w:pStyle w:val="TableBlock"/>
                    <w:rPr>
                      <w:rFonts w:ascii="David" w:hAnsi="David" w:cs="David"/>
                      <w:rtl/>
                    </w:rPr>
                  </w:pPr>
                  <w:r>
                    <w:rPr>
                      <w:rFonts w:ascii="David" w:hAnsi="David" w:cs="David" w:hint="cs"/>
                      <w:rtl/>
                    </w:rPr>
                    <w:t xml:space="preserve"> </w:t>
                  </w:r>
                  <w:r w:rsidR="00355703" w:rsidRPr="00EC0181">
                    <w:rPr>
                      <w:rFonts w:ascii="David" w:hAnsi="David" w:cs="David"/>
                      <w:rtl/>
                    </w:rPr>
                    <w:t>1א</w:t>
                  </w:r>
                </w:p>
              </w:tc>
              <w:tc>
                <w:tcPr>
                  <w:tcW w:w="1279" w:type="dxa"/>
                </w:tcPr>
                <w:p w:rsidR="00355703" w:rsidRPr="00EC0181" w:rsidRDefault="00355703" w:rsidP="00EC0181">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EC0181">
                    <w:rPr>
                      <w:rFonts w:ascii="David" w:hAnsi="David" w:cs="David"/>
                      <w:rtl/>
                    </w:rPr>
                    <w:t>2</w:t>
                  </w:r>
                </w:p>
              </w:tc>
              <w:tc>
                <w:tcPr>
                  <w:tcW w:w="4578" w:type="dxa"/>
                </w:tcPr>
                <w:p w:rsidR="00355703" w:rsidRPr="00EC0181" w:rsidRDefault="00355703" w:rsidP="00EC0181">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EC0181">
                    <w:rPr>
                      <w:rFonts w:ascii="David" w:hAnsi="David" w:cs="David"/>
                      <w:rtl/>
                    </w:rPr>
                    <w:t>כשרישיון הרכב פקע – יותר מ-4 חודשים ועד שנה אחת מיום פקיעתו</w:t>
                  </w:r>
                </w:p>
              </w:tc>
              <w:tc>
                <w:tcPr>
                  <w:cnfStyle w:val="000100000000" w:firstRow="0" w:lastRow="0" w:firstColumn="0" w:lastColumn="1" w:oddVBand="0" w:evenVBand="0" w:oddHBand="0" w:evenHBand="0" w:firstRowFirstColumn="0" w:firstRowLastColumn="0" w:lastRowFirstColumn="0" w:lastRowLastColumn="0"/>
                  <w:tcW w:w="704" w:type="dxa"/>
                </w:tcPr>
                <w:p w:rsidR="00355703" w:rsidRPr="00EC0181" w:rsidRDefault="00355703" w:rsidP="00EC0181">
                  <w:pPr>
                    <w:pStyle w:val="TableBlock"/>
                    <w:rPr>
                      <w:rFonts w:ascii="David" w:hAnsi="David" w:cs="David"/>
                      <w:rtl/>
                    </w:rPr>
                  </w:pPr>
                  <w:r w:rsidRPr="00EC0181">
                    <w:rPr>
                      <w:rFonts w:ascii="David" w:hAnsi="David" w:cs="David"/>
                      <w:rtl/>
                    </w:rPr>
                    <w:t>ה</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664" w:type="dxa"/>
                </w:tcPr>
                <w:p w:rsidR="00355703" w:rsidRPr="00EC0181" w:rsidRDefault="00EC0181" w:rsidP="00EC0181">
                  <w:pPr>
                    <w:pStyle w:val="TableBlock"/>
                    <w:rPr>
                      <w:rFonts w:ascii="David" w:hAnsi="David" w:cs="David"/>
                      <w:rtl/>
                    </w:rPr>
                  </w:pPr>
                  <w:r>
                    <w:rPr>
                      <w:rFonts w:ascii="David" w:hAnsi="David" w:cs="David" w:hint="cs"/>
                      <w:rtl/>
                    </w:rPr>
                    <w:t xml:space="preserve"> </w:t>
                  </w:r>
                  <w:r w:rsidR="00355703" w:rsidRPr="00EC0181">
                    <w:rPr>
                      <w:rFonts w:ascii="David" w:hAnsi="David" w:cs="David"/>
                      <w:rtl/>
                    </w:rPr>
                    <w:t>2</w:t>
                  </w:r>
                </w:p>
              </w:tc>
              <w:tc>
                <w:tcPr>
                  <w:tcW w:w="1279" w:type="dxa"/>
                </w:tcPr>
                <w:p w:rsidR="00355703" w:rsidRPr="00EC0181" w:rsidRDefault="00355703" w:rsidP="00EC0181">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EC0181">
                    <w:rPr>
                      <w:rFonts w:ascii="David" w:hAnsi="David" w:cs="David"/>
                      <w:rtl/>
                    </w:rPr>
                    <w:t>10(א)</w:t>
                  </w:r>
                </w:p>
              </w:tc>
              <w:tc>
                <w:tcPr>
                  <w:tcW w:w="4578" w:type="dxa"/>
                </w:tcPr>
                <w:p w:rsidR="00355703" w:rsidRPr="00EC0181" w:rsidRDefault="00355703" w:rsidP="00EC0181">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EC0181">
                    <w:rPr>
                      <w:rFonts w:ascii="David" w:hAnsi="David" w:cs="David"/>
                      <w:rtl/>
                    </w:rPr>
                    <w:t>כשרישיון הנהיגה פקע – עד 6 חודשים מיום פקיעתו</w:t>
                  </w:r>
                </w:p>
              </w:tc>
              <w:tc>
                <w:tcPr>
                  <w:cnfStyle w:val="000100000000" w:firstRow="0" w:lastRow="0" w:firstColumn="0" w:lastColumn="1" w:oddVBand="0" w:evenVBand="0" w:oddHBand="0" w:evenHBand="0" w:firstRowFirstColumn="0" w:firstRowLastColumn="0" w:lastRowFirstColumn="0" w:lastRowLastColumn="0"/>
                  <w:tcW w:w="704" w:type="dxa"/>
                </w:tcPr>
                <w:p w:rsidR="00355703" w:rsidRPr="00EC0181" w:rsidRDefault="00355703" w:rsidP="00EC0181">
                  <w:pPr>
                    <w:pStyle w:val="TableBlock"/>
                    <w:rPr>
                      <w:rFonts w:ascii="David" w:hAnsi="David" w:cs="David"/>
                      <w:rtl/>
                    </w:rPr>
                  </w:pPr>
                  <w:r w:rsidRPr="00EC0181">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664" w:type="dxa"/>
                </w:tcPr>
                <w:p w:rsidR="00355703" w:rsidRPr="00EC0181" w:rsidRDefault="00EC0181" w:rsidP="00EC0181">
                  <w:pPr>
                    <w:pStyle w:val="TableBlock"/>
                    <w:rPr>
                      <w:rFonts w:ascii="David" w:hAnsi="David" w:cs="David"/>
                      <w:rtl/>
                    </w:rPr>
                  </w:pPr>
                  <w:r>
                    <w:rPr>
                      <w:rFonts w:ascii="David" w:hAnsi="David" w:cs="David" w:hint="cs"/>
                      <w:rtl/>
                    </w:rPr>
                    <w:t xml:space="preserve"> </w:t>
                  </w:r>
                  <w:r w:rsidR="00355703" w:rsidRPr="00EC0181">
                    <w:rPr>
                      <w:rFonts w:ascii="David" w:hAnsi="David" w:cs="David"/>
                      <w:rtl/>
                    </w:rPr>
                    <w:t>2א</w:t>
                  </w:r>
                </w:p>
              </w:tc>
              <w:tc>
                <w:tcPr>
                  <w:tcW w:w="1279" w:type="dxa"/>
                </w:tcPr>
                <w:p w:rsidR="00355703" w:rsidRPr="00EC0181" w:rsidRDefault="00355703" w:rsidP="00EC0181">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EC0181">
                    <w:rPr>
                      <w:rFonts w:ascii="David" w:hAnsi="David" w:cs="David"/>
                      <w:rtl/>
                    </w:rPr>
                    <w:t>10(א)</w:t>
                  </w:r>
                </w:p>
              </w:tc>
              <w:tc>
                <w:tcPr>
                  <w:tcW w:w="4578" w:type="dxa"/>
                </w:tcPr>
                <w:p w:rsidR="00355703" w:rsidRPr="00EC0181" w:rsidRDefault="00355703" w:rsidP="00EC0181">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EC0181">
                    <w:rPr>
                      <w:rFonts w:ascii="David" w:hAnsi="David" w:cs="David"/>
                      <w:rtl/>
                    </w:rPr>
                    <w:t>כשרישיון הנהיגה פקע – יותר מ-6 חודשים ועד שנתיים מיום פקיעתו, ובלבד שהנהג זכאי לפי תקנה 173 לתקנות התעבורה, התשכ"א-1961, לקבל רישיון נהיגה לתקופה שמעל 4 שנים</w:t>
                  </w:r>
                </w:p>
              </w:tc>
              <w:tc>
                <w:tcPr>
                  <w:cnfStyle w:val="000100000000" w:firstRow="0" w:lastRow="0" w:firstColumn="0" w:lastColumn="1" w:oddVBand="0" w:evenVBand="0" w:oddHBand="0" w:evenHBand="0" w:firstRowFirstColumn="0" w:firstRowLastColumn="0" w:lastRowFirstColumn="0" w:lastRowLastColumn="0"/>
                  <w:tcW w:w="704" w:type="dxa"/>
                </w:tcPr>
                <w:p w:rsidR="00355703" w:rsidRPr="00EC0181" w:rsidRDefault="00355703" w:rsidP="00EC0181">
                  <w:pPr>
                    <w:pStyle w:val="TableBlock"/>
                    <w:rPr>
                      <w:rFonts w:ascii="David" w:hAnsi="David" w:cs="David"/>
                      <w:rtl/>
                    </w:rPr>
                  </w:pPr>
                  <w:r w:rsidRPr="00EC0181">
                    <w:rPr>
                      <w:rFonts w:ascii="David" w:hAnsi="David" w:cs="David"/>
                      <w:rtl/>
                    </w:rPr>
                    <w:t>ד</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664" w:type="dxa"/>
                </w:tcPr>
                <w:p w:rsidR="00355703" w:rsidRPr="00EC0181" w:rsidRDefault="00EC0181" w:rsidP="00EC0181">
                  <w:pPr>
                    <w:pStyle w:val="TableBlock"/>
                    <w:rPr>
                      <w:rFonts w:ascii="David" w:hAnsi="David" w:cs="David"/>
                      <w:rtl/>
                    </w:rPr>
                  </w:pPr>
                  <w:r>
                    <w:rPr>
                      <w:rFonts w:ascii="David" w:hAnsi="David" w:cs="David" w:hint="cs"/>
                      <w:rtl/>
                    </w:rPr>
                    <w:t xml:space="preserve"> </w:t>
                  </w:r>
                  <w:r w:rsidR="00355703" w:rsidRPr="00EC0181">
                    <w:rPr>
                      <w:rFonts w:ascii="David" w:hAnsi="David" w:cs="David"/>
                      <w:rtl/>
                    </w:rPr>
                    <w:t>3</w:t>
                  </w:r>
                </w:p>
              </w:tc>
              <w:tc>
                <w:tcPr>
                  <w:tcW w:w="1279" w:type="dxa"/>
                </w:tcPr>
                <w:p w:rsidR="00355703" w:rsidRPr="00EC0181" w:rsidRDefault="00355703" w:rsidP="00EC0181">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EC0181">
                    <w:rPr>
                      <w:rFonts w:ascii="David" w:hAnsi="David" w:cs="David"/>
                      <w:rtl/>
                    </w:rPr>
                    <w:t>14ח(א)</w:t>
                  </w:r>
                </w:p>
              </w:tc>
              <w:tc>
                <w:tcPr>
                  <w:tcW w:w="4578" w:type="dxa"/>
                </w:tcPr>
                <w:p w:rsidR="00355703" w:rsidRPr="00EC0181" w:rsidRDefault="00355703" w:rsidP="00EC0181">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704" w:type="dxa"/>
                </w:tcPr>
                <w:p w:rsidR="00355703" w:rsidRPr="00EC0181" w:rsidRDefault="00355703" w:rsidP="00EC0181">
                  <w:pPr>
                    <w:pStyle w:val="TableBlock"/>
                    <w:rPr>
                      <w:rFonts w:ascii="David" w:hAnsi="David" w:cs="David"/>
                      <w:rtl/>
                    </w:rPr>
                  </w:pPr>
                  <w:r w:rsidRPr="00EC0181">
                    <w:rPr>
                      <w:rFonts w:ascii="David" w:hAnsi="David" w:cs="David"/>
                      <w:rtl/>
                    </w:rPr>
                    <w:t>ה</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664" w:type="dxa"/>
                </w:tcPr>
                <w:p w:rsidR="00355703" w:rsidRPr="00EC0181" w:rsidRDefault="00EC0181" w:rsidP="00EC0181">
                  <w:pPr>
                    <w:pStyle w:val="TableBlock"/>
                    <w:rPr>
                      <w:rFonts w:ascii="David" w:hAnsi="David" w:cs="David"/>
                      <w:rtl/>
                    </w:rPr>
                  </w:pPr>
                  <w:r>
                    <w:rPr>
                      <w:rFonts w:ascii="David" w:hAnsi="David" w:cs="David" w:hint="cs"/>
                      <w:rtl/>
                    </w:rPr>
                    <w:t xml:space="preserve"> </w:t>
                  </w:r>
                  <w:r w:rsidR="00355703" w:rsidRPr="00EC0181">
                    <w:rPr>
                      <w:rFonts w:ascii="David" w:hAnsi="David" w:cs="David"/>
                      <w:rtl/>
                    </w:rPr>
                    <w:t>4</w:t>
                  </w:r>
                </w:p>
              </w:tc>
              <w:tc>
                <w:tcPr>
                  <w:tcW w:w="1279" w:type="dxa"/>
                </w:tcPr>
                <w:p w:rsidR="00355703" w:rsidRPr="00EC0181" w:rsidRDefault="00355703" w:rsidP="00EC0181">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EC0181">
                    <w:rPr>
                      <w:rFonts w:ascii="David" w:hAnsi="David" w:cs="David"/>
                      <w:rtl/>
                    </w:rPr>
                    <w:t>65ב(א) ו-(ב)</w:t>
                  </w:r>
                </w:p>
              </w:tc>
              <w:tc>
                <w:tcPr>
                  <w:tcW w:w="4578" w:type="dxa"/>
                </w:tcPr>
                <w:p w:rsidR="00355703" w:rsidRPr="00EC0181" w:rsidRDefault="00355703" w:rsidP="00EC0181">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704" w:type="dxa"/>
                </w:tcPr>
                <w:p w:rsidR="00355703" w:rsidRPr="00EC0181" w:rsidRDefault="00355703" w:rsidP="00EC0181">
                  <w:pPr>
                    <w:pStyle w:val="TableBlock"/>
                    <w:rPr>
                      <w:rFonts w:ascii="David" w:hAnsi="David" w:cs="David"/>
                      <w:rtl/>
                    </w:rPr>
                  </w:pPr>
                  <w:r w:rsidRPr="00EC0181">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664" w:type="dxa"/>
                </w:tcPr>
                <w:p w:rsidR="00355703" w:rsidRPr="00EC0181" w:rsidRDefault="00EC0181" w:rsidP="00EC0181">
                  <w:pPr>
                    <w:pStyle w:val="TableBlock"/>
                    <w:rPr>
                      <w:rFonts w:ascii="David" w:hAnsi="David" w:cs="David"/>
                      <w:rtl/>
                    </w:rPr>
                  </w:pPr>
                  <w:r>
                    <w:rPr>
                      <w:rFonts w:ascii="David" w:hAnsi="David" w:cs="David" w:hint="cs"/>
                      <w:rtl/>
                    </w:rPr>
                    <w:t xml:space="preserve"> </w:t>
                  </w:r>
                  <w:r w:rsidR="00355703" w:rsidRPr="00EC0181">
                    <w:rPr>
                      <w:rFonts w:ascii="David" w:hAnsi="David" w:cs="David"/>
                      <w:rtl/>
                    </w:rPr>
                    <w:t>5</w:t>
                  </w:r>
                </w:p>
              </w:tc>
              <w:tc>
                <w:tcPr>
                  <w:tcW w:w="1279" w:type="dxa"/>
                </w:tcPr>
                <w:p w:rsidR="00355703" w:rsidRPr="00EC0181" w:rsidRDefault="00355703" w:rsidP="00EC0181">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EC0181">
                    <w:rPr>
                      <w:rFonts w:ascii="David" w:hAnsi="David" w:cs="David"/>
                      <w:rtl/>
                    </w:rPr>
                    <w:t>65ב(ג)</w:t>
                  </w:r>
                </w:p>
              </w:tc>
              <w:tc>
                <w:tcPr>
                  <w:tcW w:w="4578" w:type="dxa"/>
                </w:tcPr>
                <w:p w:rsidR="00355703" w:rsidRPr="00EC0181" w:rsidRDefault="00355703" w:rsidP="00EC0181">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EC0181">
                    <w:rPr>
                      <w:rFonts w:ascii="David" w:hAnsi="David" w:cs="David"/>
                      <w:rtl/>
                    </w:rPr>
                    <w:t>כשרישיון הרכב פקע – עד 4 חודשים מיום פקיעתו</w:t>
                  </w:r>
                  <w:r w:rsidRPr="00EC0181">
                    <w:rPr>
                      <w:rFonts w:ascii="David" w:hAnsi="David" w:cs="David"/>
                      <w:rtl/>
                    </w:rPr>
                    <w:tab/>
                  </w:r>
                </w:p>
              </w:tc>
              <w:tc>
                <w:tcPr>
                  <w:cnfStyle w:val="000100000000" w:firstRow="0" w:lastRow="0" w:firstColumn="0" w:lastColumn="1" w:oddVBand="0" w:evenVBand="0" w:oddHBand="0" w:evenHBand="0" w:firstRowFirstColumn="0" w:firstRowLastColumn="0" w:lastRowFirstColumn="0" w:lastRowLastColumn="0"/>
                  <w:tcW w:w="704" w:type="dxa"/>
                </w:tcPr>
                <w:p w:rsidR="00355703" w:rsidRPr="00EC0181" w:rsidRDefault="00355703" w:rsidP="00EC0181">
                  <w:pPr>
                    <w:pStyle w:val="TableBlock"/>
                    <w:rPr>
                      <w:rFonts w:ascii="David" w:hAnsi="David" w:cs="David"/>
                      <w:rtl/>
                    </w:rPr>
                  </w:pPr>
                  <w:r w:rsidRPr="00EC0181">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664" w:type="dxa"/>
                </w:tcPr>
                <w:p w:rsidR="00355703" w:rsidRPr="00EC0181" w:rsidRDefault="00EC0181" w:rsidP="00EC0181">
                  <w:pPr>
                    <w:pStyle w:val="TableBlock"/>
                    <w:rPr>
                      <w:rFonts w:ascii="David" w:hAnsi="David" w:cs="David"/>
                      <w:rtl/>
                    </w:rPr>
                  </w:pPr>
                  <w:r>
                    <w:rPr>
                      <w:rFonts w:ascii="David" w:hAnsi="David" w:cs="David" w:hint="cs"/>
                      <w:rtl/>
                    </w:rPr>
                    <w:t xml:space="preserve"> </w:t>
                  </w:r>
                  <w:r w:rsidR="00355703" w:rsidRPr="00EC0181">
                    <w:rPr>
                      <w:rFonts w:ascii="David" w:hAnsi="David" w:cs="David"/>
                      <w:rtl/>
                    </w:rPr>
                    <w:t>6</w:t>
                  </w:r>
                </w:p>
              </w:tc>
              <w:tc>
                <w:tcPr>
                  <w:tcW w:w="1279" w:type="dxa"/>
                </w:tcPr>
                <w:p w:rsidR="00355703" w:rsidRPr="00EC0181" w:rsidRDefault="00355703" w:rsidP="00EC0181">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EC0181">
                    <w:rPr>
                      <w:rFonts w:ascii="David" w:hAnsi="David" w:cs="David"/>
                      <w:rtl/>
                    </w:rPr>
                    <w:t>65ג(א) או (ב)</w:t>
                  </w:r>
                </w:p>
              </w:tc>
              <w:tc>
                <w:tcPr>
                  <w:tcW w:w="4578" w:type="dxa"/>
                </w:tcPr>
                <w:p w:rsidR="00355703" w:rsidRPr="00EC0181" w:rsidRDefault="00355703" w:rsidP="00EC0181">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704" w:type="dxa"/>
                </w:tcPr>
                <w:p w:rsidR="00355703" w:rsidRPr="00EC0181" w:rsidRDefault="00355703" w:rsidP="00EC0181">
                  <w:pPr>
                    <w:pStyle w:val="TableBlock"/>
                    <w:rPr>
                      <w:rFonts w:ascii="David" w:hAnsi="David" w:cs="David"/>
                      <w:rtl/>
                    </w:rPr>
                  </w:pPr>
                  <w:r w:rsidRPr="00EC0181">
                    <w:rPr>
                      <w:rFonts w:ascii="David" w:hAnsi="David" w:cs="David"/>
                      <w:rtl/>
                    </w:rPr>
                    <w:t>ב</w:t>
                  </w:r>
                </w:p>
              </w:tc>
            </w:tr>
          </w:tbl>
          <w:p w:rsidR="00C42AFA" w:rsidRPr="00D41E37" w:rsidRDefault="00C42AFA" w:rsidP="00FE1884">
            <w:pPr>
              <w:pStyle w:val="TableBlock"/>
              <w:jc w:val="center"/>
              <w:rPr>
                <w:highlight w:val="yellow"/>
                <w:rtl/>
              </w:rPr>
            </w:pPr>
          </w:p>
        </w:tc>
      </w:tr>
      <w:tr w:rsidR="00355703">
        <w:trPr>
          <w:cantSplit/>
          <w:trHeight w:val="60"/>
        </w:trPr>
        <w:tc>
          <w:tcPr>
            <w:tcW w:w="1871" w:type="dxa"/>
          </w:tcPr>
          <w:p w:rsidR="00355703" w:rsidRDefault="00355703">
            <w:pPr>
              <w:pStyle w:val="TableSideHeading"/>
            </w:pPr>
          </w:p>
        </w:tc>
        <w:tc>
          <w:tcPr>
            <w:tcW w:w="624" w:type="dxa"/>
          </w:tcPr>
          <w:p w:rsidR="00355703" w:rsidRDefault="00355703">
            <w:pPr>
              <w:pStyle w:val="TableText"/>
            </w:pPr>
          </w:p>
        </w:tc>
        <w:tc>
          <w:tcPr>
            <w:tcW w:w="624" w:type="dxa"/>
          </w:tcPr>
          <w:p w:rsidR="00355703" w:rsidRDefault="00355703" w:rsidP="00355703">
            <w:pPr>
              <w:pStyle w:val="TableText"/>
              <w:numPr>
                <w:ilvl w:val="0"/>
                <w:numId w:val="54"/>
              </w:numPr>
            </w:pPr>
          </w:p>
        </w:tc>
        <w:tc>
          <w:tcPr>
            <w:tcW w:w="6522" w:type="dxa"/>
            <w:gridSpan w:val="4"/>
          </w:tcPr>
          <w:p w:rsidR="00355703" w:rsidRDefault="00355703" w:rsidP="00355703">
            <w:pPr>
              <w:pStyle w:val="TableBlock"/>
            </w:pPr>
            <w:r>
              <w:rPr>
                <w:rFonts w:hint="cs"/>
                <w:rtl/>
              </w:rPr>
              <w:t>הפרות לפי תקנות התעבורה:</w:t>
            </w:r>
          </w:p>
        </w:tc>
      </w:tr>
      <w:tr w:rsidR="00355703">
        <w:trPr>
          <w:cantSplit/>
          <w:trHeight w:val="60"/>
        </w:trPr>
        <w:tc>
          <w:tcPr>
            <w:tcW w:w="1871" w:type="dxa"/>
          </w:tcPr>
          <w:p w:rsidR="00355703" w:rsidRDefault="00355703" w:rsidP="00C42AFA">
            <w:pPr>
              <w:pStyle w:val="TableSideHeading"/>
              <w:keepLines w:val="0"/>
            </w:pPr>
          </w:p>
        </w:tc>
        <w:tc>
          <w:tcPr>
            <w:tcW w:w="624" w:type="dxa"/>
          </w:tcPr>
          <w:p w:rsidR="00355703" w:rsidRDefault="00355703" w:rsidP="00355703">
            <w:pPr>
              <w:pStyle w:val="TableText"/>
            </w:pPr>
          </w:p>
        </w:tc>
        <w:tc>
          <w:tcPr>
            <w:tcW w:w="7146" w:type="dxa"/>
            <w:gridSpan w:val="5"/>
          </w:tcPr>
          <w:tbl>
            <w:tblPr>
              <w:tblStyle w:val="af2"/>
              <w:bidiVisual/>
              <w:tblW w:w="7030" w:type="dxa"/>
              <w:jc w:val="center"/>
              <w:tblLayout w:type="fixed"/>
              <w:tblLook w:val="05E0" w:firstRow="1" w:lastRow="1" w:firstColumn="1" w:lastColumn="1" w:noHBand="0" w:noVBand="1"/>
            </w:tblPr>
            <w:tblGrid>
              <w:gridCol w:w="713"/>
              <w:gridCol w:w="1134"/>
              <w:gridCol w:w="4539"/>
              <w:gridCol w:w="644"/>
            </w:tblGrid>
            <w:tr w:rsidR="00355703" w:rsidRPr="00355703" w:rsidTr="00EC018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13" w:type="dxa"/>
                  <w:tcBorders>
                    <w:top w:val="none" w:sz="0" w:space="0" w:color="auto"/>
                    <w:bottom w:val="none" w:sz="0" w:space="0" w:color="auto"/>
                  </w:tcBorders>
                </w:tcPr>
                <w:p w:rsidR="00355703" w:rsidRPr="00EC0181" w:rsidRDefault="00EC0181" w:rsidP="00EC0181">
                  <w:pPr>
                    <w:pStyle w:val="TableHead"/>
                    <w:outlineLvl w:val="9"/>
                    <w:rPr>
                      <w:b w:val="0"/>
                      <w:bCs/>
                      <w:rtl/>
                    </w:rPr>
                  </w:pPr>
                  <w:r w:rsidRPr="00355703">
                    <w:rPr>
                      <w:b w:val="0"/>
                      <w:bCs/>
                      <w:rtl/>
                    </w:rPr>
                    <w:t>מספר סידורי</w:t>
                  </w:r>
                </w:p>
              </w:tc>
              <w:tc>
                <w:tcPr>
                  <w:tcW w:w="1134" w:type="dxa"/>
                  <w:tcBorders>
                    <w:top w:val="none" w:sz="0" w:space="0" w:color="auto"/>
                    <w:bottom w:val="none" w:sz="0" w:space="0" w:color="auto"/>
                  </w:tcBorders>
                </w:tcPr>
                <w:p w:rsidR="00355703" w:rsidRPr="00EC0181" w:rsidRDefault="00355703" w:rsidP="00EC0181">
                  <w:pPr>
                    <w:pStyle w:val="TableHead"/>
                    <w:cnfStyle w:val="100000000000" w:firstRow="1" w:lastRow="0" w:firstColumn="0" w:lastColumn="0" w:oddVBand="0" w:evenVBand="0" w:oddHBand="0" w:evenHBand="0" w:firstRowFirstColumn="0" w:firstRowLastColumn="0" w:lastRowFirstColumn="0" w:lastRowLastColumn="0"/>
                    <w:rPr>
                      <w:b w:val="0"/>
                      <w:bCs/>
                      <w:rtl/>
                    </w:rPr>
                  </w:pPr>
                  <w:r w:rsidRPr="00EC0181">
                    <w:rPr>
                      <w:b w:val="0"/>
                      <w:bCs/>
                      <w:rtl/>
                    </w:rPr>
                    <w:t>מספר תקנה</w:t>
                  </w:r>
                </w:p>
              </w:tc>
              <w:tc>
                <w:tcPr>
                  <w:tcW w:w="4539" w:type="dxa"/>
                  <w:tcBorders>
                    <w:top w:val="none" w:sz="0" w:space="0" w:color="auto"/>
                    <w:bottom w:val="none" w:sz="0" w:space="0" w:color="auto"/>
                  </w:tcBorders>
                </w:tcPr>
                <w:p w:rsidR="00355703" w:rsidRPr="00EC0181" w:rsidRDefault="00355703" w:rsidP="00EC0181">
                  <w:pPr>
                    <w:pStyle w:val="TableHead"/>
                    <w:cnfStyle w:val="100000000000" w:firstRow="1" w:lastRow="0" w:firstColumn="0" w:lastColumn="0" w:oddVBand="0" w:evenVBand="0" w:oddHBand="0" w:evenHBand="0" w:firstRowFirstColumn="0" w:firstRowLastColumn="0" w:lastRowFirstColumn="0" w:lastRowLastColumn="0"/>
                    <w:rPr>
                      <w:b w:val="0"/>
                      <w:bCs/>
                      <w:rtl/>
                    </w:rPr>
                  </w:pPr>
                  <w:r w:rsidRPr="00EC0181">
                    <w:rPr>
                      <w:b w:val="0"/>
                      <w:bCs/>
                      <w:rtl/>
                    </w:rPr>
                    <w:t>פירוט נוסף לעבירה</w:t>
                  </w:r>
                </w:p>
              </w:tc>
              <w:tc>
                <w:tcPr>
                  <w:cnfStyle w:val="000100000000" w:firstRow="0" w:lastRow="0" w:firstColumn="0" w:lastColumn="1" w:oddVBand="0" w:evenVBand="0" w:oddHBand="0" w:evenHBand="0" w:firstRowFirstColumn="0" w:firstRowLastColumn="0" w:lastRowFirstColumn="0" w:lastRowLastColumn="0"/>
                  <w:tcW w:w="644" w:type="dxa"/>
                  <w:tcBorders>
                    <w:top w:val="none" w:sz="0" w:space="0" w:color="auto"/>
                    <w:bottom w:val="none" w:sz="0" w:space="0" w:color="auto"/>
                  </w:tcBorders>
                </w:tcPr>
                <w:p w:rsidR="00355703" w:rsidRPr="00EC0181" w:rsidRDefault="00355703" w:rsidP="00EC0181">
                  <w:pPr>
                    <w:pStyle w:val="TableHead"/>
                    <w:rPr>
                      <w:b w:val="0"/>
                      <w:bCs/>
                      <w:rtl/>
                    </w:rPr>
                  </w:pPr>
                  <w:r w:rsidRPr="00EC0181">
                    <w:rPr>
                      <w:b w:val="0"/>
                      <w:bCs/>
                      <w:rtl/>
                    </w:rPr>
                    <w:t>דרגת קנס</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vAlign w:val="top"/>
                </w:tcPr>
                <w:p w:rsidR="00355703" w:rsidRPr="00355703" w:rsidRDefault="00355703" w:rsidP="00355703">
                  <w:pPr>
                    <w:pStyle w:val="TableBlock"/>
                    <w:rPr>
                      <w:rFonts w:ascii="David" w:hAnsi="David" w:cs="David"/>
                      <w:rtl/>
                    </w:rPr>
                  </w:pPr>
                  <w:r w:rsidRPr="00355703">
                    <w:rPr>
                      <w:rFonts w:ascii="David" w:hAnsi="David" w:cs="David"/>
                      <w:rtl/>
                    </w:rPr>
                    <w:t>1</w:t>
                  </w:r>
                </w:p>
              </w:tc>
              <w:tc>
                <w:tcPr>
                  <w:tcW w:w="1134" w:type="dxa"/>
                  <w:vAlign w:val="top"/>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5</w:t>
                  </w:r>
                </w:p>
              </w:tc>
              <w:tc>
                <w:tcPr>
                  <w:tcW w:w="4539" w:type="dxa"/>
                  <w:vAlign w:val="top"/>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vAlign w:val="top"/>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vAlign w:val="top"/>
                </w:tcPr>
                <w:p w:rsidR="00355703" w:rsidRPr="00355703" w:rsidRDefault="00355703" w:rsidP="00355703">
                  <w:pPr>
                    <w:pStyle w:val="TableBlock"/>
                    <w:rPr>
                      <w:rFonts w:ascii="David" w:hAnsi="David" w:cs="David"/>
                      <w:rtl/>
                    </w:rPr>
                  </w:pPr>
                  <w:r w:rsidRPr="00355703">
                    <w:rPr>
                      <w:rFonts w:ascii="David" w:hAnsi="David" w:cs="David"/>
                      <w:rtl/>
                    </w:rPr>
                    <w:t>2</w:t>
                  </w:r>
                </w:p>
              </w:tc>
              <w:tc>
                <w:tcPr>
                  <w:tcW w:w="1134" w:type="dxa"/>
                  <w:vAlign w:val="top"/>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6</w:t>
                  </w:r>
                </w:p>
              </w:tc>
              <w:tc>
                <w:tcPr>
                  <w:tcW w:w="4539" w:type="dxa"/>
                  <w:vAlign w:val="top"/>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vAlign w:val="top"/>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vAlign w:val="top"/>
                </w:tcPr>
                <w:p w:rsidR="00355703" w:rsidRPr="00355703" w:rsidRDefault="00355703" w:rsidP="00355703">
                  <w:pPr>
                    <w:pStyle w:val="TableBlock"/>
                    <w:rPr>
                      <w:rFonts w:ascii="David" w:hAnsi="David" w:cs="David"/>
                      <w:rtl/>
                    </w:rPr>
                  </w:pPr>
                  <w:r w:rsidRPr="00355703">
                    <w:rPr>
                      <w:rFonts w:ascii="David" w:hAnsi="David" w:cs="David"/>
                      <w:rtl/>
                    </w:rPr>
                    <w:t>3</w:t>
                  </w:r>
                </w:p>
              </w:tc>
              <w:tc>
                <w:tcPr>
                  <w:tcW w:w="1134" w:type="dxa"/>
                  <w:vAlign w:val="top"/>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8</w:t>
                  </w:r>
                </w:p>
              </w:tc>
              <w:tc>
                <w:tcPr>
                  <w:tcW w:w="4539" w:type="dxa"/>
                  <w:vAlign w:val="top"/>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vAlign w:val="top"/>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vAlign w:val="top"/>
                </w:tcPr>
                <w:p w:rsidR="00355703" w:rsidRPr="00355703" w:rsidRDefault="00355703" w:rsidP="00355703">
                  <w:pPr>
                    <w:pStyle w:val="TableBlock"/>
                    <w:rPr>
                      <w:rFonts w:ascii="David" w:hAnsi="David" w:cs="David"/>
                      <w:rtl/>
                    </w:rPr>
                  </w:pPr>
                  <w:r w:rsidRPr="00355703">
                    <w:rPr>
                      <w:rFonts w:ascii="David" w:hAnsi="David" w:cs="David"/>
                      <w:rtl/>
                    </w:rPr>
                    <w:t>4</w:t>
                  </w:r>
                </w:p>
              </w:tc>
              <w:tc>
                <w:tcPr>
                  <w:tcW w:w="1134" w:type="dxa"/>
                  <w:vAlign w:val="top"/>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9(א)</w:t>
                  </w:r>
                </w:p>
              </w:tc>
              <w:tc>
                <w:tcPr>
                  <w:tcW w:w="4539" w:type="dxa"/>
                  <w:vAlign w:val="top"/>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vAlign w:val="top"/>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vAlign w:val="top"/>
                </w:tcPr>
                <w:p w:rsidR="00355703" w:rsidRPr="00355703" w:rsidRDefault="00355703" w:rsidP="00355703">
                  <w:pPr>
                    <w:pStyle w:val="TableBlock"/>
                    <w:rPr>
                      <w:rFonts w:ascii="David" w:hAnsi="David" w:cs="David"/>
                      <w:rtl/>
                    </w:rPr>
                  </w:pPr>
                  <w:r w:rsidRPr="00355703">
                    <w:rPr>
                      <w:rFonts w:ascii="David" w:hAnsi="David" w:cs="David"/>
                      <w:rtl/>
                    </w:rPr>
                    <w:t>4א</w:t>
                  </w:r>
                </w:p>
              </w:tc>
              <w:tc>
                <w:tcPr>
                  <w:tcW w:w="1134" w:type="dxa"/>
                  <w:vAlign w:val="top"/>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9(ג)</w:t>
                  </w:r>
                </w:p>
              </w:tc>
              <w:tc>
                <w:tcPr>
                  <w:tcW w:w="4539" w:type="dxa"/>
                  <w:vAlign w:val="top"/>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vAlign w:val="top"/>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vAlign w:val="top"/>
                </w:tcPr>
                <w:p w:rsidR="00355703" w:rsidRPr="00355703" w:rsidRDefault="00355703" w:rsidP="00355703">
                  <w:pPr>
                    <w:pStyle w:val="TableBlock"/>
                    <w:rPr>
                      <w:rFonts w:ascii="David" w:hAnsi="David" w:cs="David"/>
                      <w:rtl/>
                    </w:rPr>
                  </w:pPr>
                  <w:r w:rsidRPr="00355703">
                    <w:rPr>
                      <w:rFonts w:ascii="David" w:hAnsi="David" w:cs="David"/>
                      <w:rtl/>
                    </w:rPr>
                    <w:t>5</w:t>
                  </w:r>
                </w:p>
              </w:tc>
              <w:tc>
                <w:tcPr>
                  <w:tcW w:w="1134" w:type="dxa"/>
                  <w:vAlign w:val="top"/>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9א(א)</w:t>
                  </w:r>
                </w:p>
              </w:tc>
              <w:tc>
                <w:tcPr>
                  <w:tcW w:w="4539" w:type="dxa"/>
                  <w:vAlign w:val="top"/>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נוהג חדש בלא תווית</w:t>
                  </w:r>
                </w:p>
              </w:tc>
              <w:tc>
                <w:tcPr>
                  <w:cnfStyle w:val="000100000000" w:firstRow="0" w:lastRow="0" w:firstColumn="0" w:lastColumn="1" w:oddVBand="0" w:evenVBand="0" w:oddHBand="0" w:evenHBand="0" w:firstRowFirstColumn="0" w:firstRowLastColumn="0" w:lastRowFirstColumn="0" w:lastRowLastColumn="0"/>
                  <w:tcW w:w="644" w:type="dxa"/>
                  <w:vAlign w:val="top"/>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9א(ב)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נוהג, שאיננו נוהג חדש, עם תווית</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12(ב)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8</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13(א)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9</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15</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10</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21(ב)(1)</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11</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21(ב)(3)</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12</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21(ג)</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13</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22(א)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אי ציות לתמרורים למעט תמרורים המגבילים מהירות ותמרורים המפורטים להלן בנפרד</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14</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22(א)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אי ציות לתמרורים 412, 413, 417, 438 ו-817</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15</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22(א)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אי ציות לתמרורים 201 עד 208, 401, 402, 405, 406, 408, 415 עד 417, 422 ו-511 עד 513 באזור קנס מוגדל</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22(א)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אי ציות נוהג רכב לרמזור למעט אי ציות לכיוון הנסיעה ברמזור, התחלת נסיעה באור צהוב יחד עם אור אדום</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ו</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22(א)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אי ציות לכיוון הנסיעה ברמזור, התחלת נסיעה באור צהוב יחד עם אדום</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18</w:t>
                  </w:r>
                </w:p>
              </w:tc>
              <w:tc>
                <w:tcPr>
                  <w:tcW w:w="1134" w:type="dxa"/>
                  <w:vAlign w:val="top"/>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22(א)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אי ציות הולך רגל לרמזור</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19</w:t>
                  </w:r>
                </w:p>
              </w:tc>
              <w:tc>
                <w:tcPr>
                  <w:tcW w:w="1134" w:type="dxa"/>
                  <w:vAlign w:val="top"/>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22(א)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אי ציות לתמרור 307 ולתמרור האוסר חניה</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20</w:t>
                  </w:r>
                </w:p>
              </w:tc>
              <w:tc>
                <w:tcPr>
                  <w:tcW w:w="1134" w:type="dxa"/>
                  <w:vAlign w:val="top"/>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22(א)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אי ציות לתמרור 815</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21</w:t>
                  </w:r>
                </w:p>
              </w:tc>
              <w:tc>
                <w:tcPr>
                  <w:tcW w:w="1134" w:type="dxa"/>
                  <w:vAlign w:val="top"/>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22(א)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אי ציות לתמרור 407</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ה</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22</w:t>
                  </w:r>
                </w:p>
              </w:tc>
              <w:tc>
                <w:tcPr>
                  <w:tcW w:w="1134" w:type="dxa"/>
                  <w:vAlign w:val="top"/>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22(א)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אי ציות לתמרורים 302, 304 באי עצירה בלבד</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22א</w:t>
                  </w:r>
                </w:p>
              </w:tc>
              <w:tc>
                <w:tcPr>
                  <w:tcW w:w="1134" w:type="dxa"/>
                  <w:vAlign w:val="top"/>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22(א)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אי ציות לתמרורים 501 ו-503</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23</w:t>
                  </w:r>
                </w:p>
              </w:tc>
              <w:tc>
                <w:tcPr>
                  <w:tcW w:w="1134" w:type="dxa"/>
                  <w:vAlign w:val="top"/>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22(א)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אי ציות לתמרור או סימון האוסר עצירה</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24</w:t>
                  </w:r>
                </w:p>
              </w:tc>
              <w:tc>
                <w:tcPr>
                  <w:tcW w:w="1134" w:type="dxa"/>
                  <w:vAlign w:val="top"/>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22(א)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באזור קנס מוגדל – אי ציות לתמרור האוסר עצירה או חניה</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25</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27(א) או (ד)</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בליקוי לא חמור</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27(ב)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28(א)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28</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28(ב)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ה</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29</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29</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30</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30</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אי הרכבת מכשיר אופטי</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31</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30</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אי החזקת מכשיר אופטי נוסף</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32</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33(א)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למעט אופנוע</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ד</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33</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33(א)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באופנוע</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34</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34(א)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למעט המנויים במספרים סידוריים 34א ו-34ב</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34א</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34(א)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לעניין רוכב ברכב שלא מותקן בו מנוע המניע אותו או מסייע בכך, או הולך רגל</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34ב</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34(א)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לעניין רוכב באופניים או בתלת-אופן שמותקן בהם מנוע המניע אותם או מסייע בכך, או קורקינט ממונע כהגדרתו בתוספת השנייה לחוק לייעול הפיקוח והאכיפה העירוניים ברשויות המקומיות (תעבורה), התשע"ו-2016</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35</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35</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36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36(ב)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37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(נמחק)</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38</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36(ג)</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39</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36(ד)</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40</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36(ה)</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41</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37</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42</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38(א)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43</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38(ב)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44</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39(א)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45</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39א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למעט תקנה משנה (ה)</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46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39א(ה)</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47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39ג(א) או (ג)</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48</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39ג(ב)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 xml:space="preserve">עד </w:t>
                  </w:r>
                  <w:smartTag w:uri="urn:schemas-microsoft-com:office:smarttags" w:element="metricconverter">
                    <w:smartTagPr>
                      <w:attr w:name="ProductID" w:val="20 קמ&quot;ש"/>
                    </w:smartTagPr>
                    <w:r w:rsidRPr="00355703">
                      <w:rPr>
                        <w:rFonts w:ascii="David" w:hAnsi="David" w:cs="David"/>
                        <w:rtl/>
                      </w:rPr>
                      <w:t>20 קמ"ש</w:t>
                    </w:r>
                  </w:smartTag>
                  <w:r w:rsidRPr="00355703">
                    <w:rPr>
                      <w:rFonts w:ascii="David" w:hAnsi="David" w:cs="David"/>
                      <w:rtl/>
                    </w:rPr>
                    <w:t xml:space="preserve"> מעל המותר</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49</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39ג(ב)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 xml:space="preserve">מעל </w:t>
                  </w:r>
                  <w:smartTag w:uri="urn:schemas-microsoft-com:office:smarttags" w:element="metricconverter">
                    <w:smartTagPr>
                      <w:attr w:name="ProductID" w:val="20 קמ&quot;ש"/>
                    </w:smartTagPr>
                    <w:r w:rsidRPr="00355703">
                      <w:rPr>
                        <w:rFonts w:ascii="David" w:hAnsi="David" w:cs="David"/>
                        <w:rtl/>
                      </w:rPr>
                      <w:t>20 קמ"ש</w:t>
                    </w:r>
                  </w:smartTag>
                  <w:r w:rsidRPr="00355703">
                    <w:rPr>
                      <w:rFonts w:ascii="David" w:hAnsi="David" w:cs="David"/>
                      <w:rtl/>
                    </w:rPr>
                    <w:t xml:space="preserve"> מעל המותר</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50</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39ג(ד)</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50א</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39יא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50ב</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39טז</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ה</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50ג</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39יח2</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ה</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51</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40(א)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תוך כדי הפרעה</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52</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40(א)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תוך כדי סיכון</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53</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40(ב)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54</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40(ג)</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55</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41</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56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42</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57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43</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58</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44</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59</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45</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60</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46</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61</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47(א)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62</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47(ה)(2)</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63</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47(ה)(3)</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64</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47(ה)(4)</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עקיפה בצומת</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65</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47(ה)(4)</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אי השלמת עקיפה לפני צומת</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66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47(ז)</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67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47(ח)</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ד</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68</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48(א)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69</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48(ב)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70</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48(ג)</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71</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49</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72</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50(א)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73</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52</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74</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53</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75</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54(א)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 xml:space="preserve">בדרך עירונית עד </w:t>
                  </w:r>
                  <w:smartTag w:uri="urn:schemas-microsoft-com:office:smarttags" w:element="metricconverter">
                    <w:smartTagPr>
                      <w:attr w:name="ProductID" w:val="20 קמ&quot;ש"/>
                    </w:smartTagPr>
                    <w:r w:rsidRPr="00355703">
                      <w:rPr>
                        <w:rFonts w:ascii="David" w:hAnsi="David" w:cs="David"/>
                        <w:rtl/>
                      </w:rPr>
                      <w:t>20 קמ"ש</w:t>
                    </w:r>
                  </w:smartTag>
                  <w:r w:rsidRPr="00355703">
                    <w:rPr>
                      <w:rFonts w:ascii="David" w:hAnsi="David" w:cs="David"/>
                      <w:rtl/>
                    </w:rPr>
                    <w:t xml:space="preserve"> מעל המותר</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76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54(א)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 xml:space="preserve">בדרך עירונית מ-21 ועד </w:t>
                  </w:r>
                  <w:smartTag w:uri="urn:schemas-microsoft-com:office:smarttags" w:element="metricconverter">
                    <w:smartTagPr>
                      <w:attr w:name="ProductID" w:val="30 קמ&quot;ש"/>
                    </w:smartTagPr>
                    <w:r w:rsidRPr="00355703">
                      <w:rPr>
                        <w:rFonts w:ascii="David" w:hAnsi="David" w:cs="David"/>
                        <w:rtl/>
                      </w:rPr>
                      <w:t>30 קמ"ש</w:t>
                    </w:r>
                  </w:smartTag>
                  <w:r w:rsidRPr="00355703">
                    <w:rPr>
                      <w:rFonts w:ascii="David" w:hAnsi="David" w:cs="David"/>
                      <w:rtl/>
                    </w:rPr>
                    <w:t xml:space="preserve"> מעל המותר</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ד</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76א</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54(א)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ו</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77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54(א)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 xml:space="preserve">בדרך שאיננה עירונית עד </w:t>
                  </w:r>
                  <w:smartTag w:uri="urn:schemas-microsoft-com:office:smarttags" w:element="metricconverter">
                    <w:smartTagPr>
                      <w:attr w:name="ProductID" w:val="25 קמ&quot;ש"/>
                    </w:smartTagPr>
                    <w:r w:rsidRPr="00355703">
                      <w:rPr>
                        <w:rFonts w:ascii="David" w:hAnsi="David" w:cs="David"/>
                        <w:rtl/>
                      </w:rPr>
                      <w:t>25 קמ"ש</w:t>
                    </w:r>
                  </w:smartTag>
                  <w:r w:rsidRPr="00355703">
                    <w:rPr>
                      <w:rFonts w:ascii="David" w:hAnsi="David" w:cs="David"/>
                      <w:rtl/>
                    </w:rPr>
                    <w:t xml:space="preserve"> מעל המותר</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78</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54(א)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 xml:space="preserve">בדרך שאיננה עירונית מ-26 ועד </w:t>
                  </w:r>
                  <w:smartTag w:uri="urn:schemas-microsoft-com:office:smarttags" w:element="metricconverter">
                    <w:smartTagPr>
                      <w:attr w:name="ProductID" w:val="40 קמ&quot;ש"/>
                    </w:smartTagPr>
                    <w:r w:rsidRPr="00355703">
                      <w:rPr>
                        <w:rFonts w:ascii="David" w:hAnsi="David" w:cs="David"/>
                        <w:rtl/>
                      </w:rPr>
                      <w:t>40 קמ"ש</w:t>
                    </w:r>
                  </w:smartTag>
                  <w:r w:rsidRPr="00355703">
                    <w:rPr>
                      <w:rFonts w:ascii="David" w:hAnsi="David" w:cs="David"/>
                      <w:rtl/>
                    </w:rPr>
                    <w:t xml:space="preserve"> מעל המותר</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ד</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78א</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54(א)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בדרך שאיננה עירונית מ-41 עד 50 קמ"ש מעל המותר</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ו</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79</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54(ד)(3)</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80</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55</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81</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56(ב)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למעט 56(ב)(1)</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82</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56(ב)(1)</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83</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57</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ד</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84</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58</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85</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61</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86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(נמחק)</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87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62(ב)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88</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63</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89</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64(ד)</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תמרור 302, אי עצירה בלבד</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90</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65</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91</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66</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בגרימת הפרעה</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92</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66</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בגרימת סיכון</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93</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67(א)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93א</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67(א1)</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93ב</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67(א2)</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94</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68</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95</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69(א)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95א</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69(ג)</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בשולי הדרך</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95ב</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69(ג)</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שלא בכביש או בשולי הדרך</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96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69(ו)</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למעט באזור קנס מוגדל</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97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69(ו)</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באזור קנס מוגדל</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98</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69א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ב</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99</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70</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100</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71</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101</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72(א)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למעט פסקאות (2), (2א), (3), (4), (6), (10), (14), (12) ו-(16) ולמעט באזור קנס מוגדל</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102</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72(א)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למעט פסקאות (2א), (12) ו-(16) באזור קנס מוגדל</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103</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72(א)(א2)</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למעט בנסיבות המפורטות להלן</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104</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72(א)(2א)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 xml:space="preserve">בהעמדת שני גלגלים בלבד על המדרכה ובלבד שנותר מעבר של </w:t>
                  </w:r>
                  <w:smartTag w:uri="urn:schemas-microsoft-com:office:smarttags" w:element="metricconverter">
                    <w:smartTagPr>
                      <w:attr w:name="ProductID" w:val="130 ס&quot;מ"/>
                    </w:smartTagPr>
                    <w:r w:rsidRPr="00355703">
                      <w:rPr>
                        <w:rFonts w:ascii="David" w:hAnsi="David" w:cs="David"/>
                        <w:rtl/>
                      </w:rPr>
                      <w:t>130 ס"מ</w:t>
                    </w:r>
                  </w:smartTag>
                  <w:r w:rsidRPr="00355703">
                    <w:rPr>
                      <w:rFonts w:ascii="David" w:hAnsi="David" w:cs="David"/>
                      <w:rtl/>
                    </w:rPr>
                    <w:t xml:space="preserve"> לפחות על המדרכה ומותרת החניה בכביש שבו הועמדו יתר גלגלי הרכב</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104א</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72(א)(2),(3),(4),(6) ו-(10)</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105</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72(א)(12)</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למעט באזור קנס מוגדל</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106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72(א)(12</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באזור קנס מוגדל</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106א</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72(א)(14)</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107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72(א)(16)</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ה</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108</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72(ב)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109</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72(ג)</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109א</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72א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110</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73</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111</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74</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112</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75</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113</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76(ג)</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114</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79</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115</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80</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116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81</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לנוהג הרכב</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116א</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81</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העולה או היורד מהרכב</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117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82</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118</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83</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אי התקנת שלט "ילדים"</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119</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83</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אי הסרת שלט "ילדים"</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120</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83א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אם הנוסע הוא ילד שטרם מלאו לו שלוש שנים</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ה</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120א</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83א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אם הנוסע הוא ילד שמלאו לו שלוש שנים וטרם מלאו לו שמונה שנים</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ד</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121</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83ב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למעט אם הנוסע הוא ילד כמפורט במספר סידורי 121א</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121א</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83ב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אם הנוסע הוא ילד שמלאו לו שמונה שנים וטרם מלאו לו ארבע עשרה שנים</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122</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(נמחק)</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123</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84</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למעט תקנות משנה (ב) ו-(ה)</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124</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84(ה)</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125</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85(א)(1) או (3)</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126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85(א)(2)(א)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127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85(א)(2)(ב) או (ג)</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128</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85(א)(4)</w:t>
                  </w:r>
                  <w:r w:rsidRPr="00355703">
                    <w:rPr>
                      <w:rFonts w:ascii="David" w:hAnsi="David" w:cs="David"/>
                      <w:rtl/>
                    </w:rPr>
                    <w:tab/>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129</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85(א)(5)</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כשמשקל הכולל של הרכב מגיע עד 10% מעל המותר</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130</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85(א)(5)</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 xml:space="preserve">כשהמשקל הכולל של הרכב מגיע מעל 10% ולא יותר </w:t>
                  </w:r>
                  <w:r w:rsidRPr="00355703">
                    <w:rPr>
                      <w:rFonts w:ascii="David" w:hAnsi="David" w:cs="David"/>
                      <w:rtl/>
                    </w:rPr>
                    <w:br/>
                    <w:t>מ-14.99% מעל המותר</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ה</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131</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85(א)(6)</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132</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85(ה)(2)</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בהעדר סימון</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133</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85(ה)(3)</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בהיעדר היתר</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134</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85(ו)</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135</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85א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136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85ב(ב)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137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86</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138</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87</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ד</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139</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88(א) או (ב)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140</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88(ג)</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141</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90(א),(ב),(ג),(ד) או (ז)</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142</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90(ו)</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143</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91</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144</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92(ב) או (ד)</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145</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92(ג)</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146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93(א)(1)</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בנוהג רכב</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147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93(א)(2)</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148</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93(ב)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149</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95</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150</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96</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151</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97</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למעט לגבי הארת לוחית זיהוי</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152</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97(א)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לגבי הארת לוחית זיהוי</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153</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98</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א33</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154</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99</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155</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100</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156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101</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157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102</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158</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103</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159</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104</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160</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105</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161</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106</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162</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107(א)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163</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107(ג)</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164</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107(ד)</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165</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107(ה)</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166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108(א)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167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109(א)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168</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109(ב)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169</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110</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170</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111</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171</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112</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172</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113</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173</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114</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174</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117</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175</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119(ב)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175א</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119(ב1)</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176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119(ג)</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177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120</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178</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121</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179</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122</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179א</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122א(א)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ה</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179ב</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122א(ב)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179ג</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12ב(א)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179ד</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122ב(ב)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179ה</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122ב(ג)</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180</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123(א)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באופניים במצב לא תקין</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180א</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123(א)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באופניים או תלת-אופן שמותקן בהם מנוע המניע אותם או מסייע בכך, במצב לא תקין</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181</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123(ב)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למעט אופניים במצב לא תקין</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181א</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123(ב)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באופניים או תלת-אופן שמותקן בהם מנוע המניע אותם או מסייע בכך, למעט כשהם במצב לא תקין</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182</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124(א) או (ב)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182א</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124(א) או (ב)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באופניים שמותקן בהם מנוע המניע אותם או מסייע בכך, למעט כשהם במצב לא תקין</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183</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125</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183א</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125</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באופניים שמותקן בהם מנוע המניע אותם או מסייע בכך</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184</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126</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184א</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126</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 xml:space="preserve">באופניים, תלת-אופן שמותקן בהם מנוע המניע אותם או מסייע בכך או </w:t>
                  </w:r>
                  <w:proofErr w:type="spellStart"/>
                  <w:r w:rsidRPr="00355703">
                    <w:rPr>
                      <w:rFonts w:ascii="David" w:hAnsi="David" w:cs="David"/>
                      <w:rtl/>
                    </w:rPr>
                    <w:t>בגלגינוע</w:t>
                  </w:r>
                  <w:proofErr w:type="spellEnd"/>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EC0181" w:rsidP="00355703">
                  <w:pPr>
                    <w:pStyle w:val="TableBlock"/>
                    <w:rPr>
                      <w:rFonts w:ascii="David" w:hAnsi="David" w:cs="David"/>
                      <w:rtl/>
                    </w:rPr>
                  </w:pPr>
                  <w:r>
                    <w:rPr>
                      <w:rFonts w:ascii="David" w:hAnsi="David" w:cs="David" w:hint="cs"/>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185</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127</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EC0181" w:rsidP="00355703">
                  <w:pPr>
                    <w:pStyle w:val="TableBlock"/>
                    <w:rPr>
                      <w:rFonts w:ascii="David" w:hAnsi="David" w:cs="David"/>
                      <w:rtl/>
                    </w:rPr>
                  </w:pPr>
                  <w:r>
                    <w:rPr>
                      <w:rFonts w:ascii="David" w:hAnsi="David" w:cs="David" w:hint="cs"/>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185א</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127</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 xml:space="preserve">באופניים, תלת-אופן שמותקן בהם מנוע המניע אותם או מסייע בכך או </w:t>
                  </w:r>
                  <w:proofErr w:type="spellStart"/>
                  <w:r w:rsidRPr="00355703">
                    <w:rPr>
                      <w:rFonts w:ascii="David" w:hAnsi="David" w:cs="David"/>
                      <w:rtl/>
                    </w:rPr>
                    <w:t>בגלגינוע</w:t>
                  </w:r>
                  <w:proofErr w:type="spellEnd"/>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EC0181" w:rsidP="00355703">
                  <w:pPr>
                    <w:pStyle w:val="TableBlock"/>
                    <w:rPr>
                      <w:rFonts w:ascii="David" w:hAnsi="David" w:cs="David"/>
                      <w:rtl/>
                    </w:rPr>
                  </w:pPr>
                  <w:r>
                    <w:rPr>
                      <w:rFonts w:ascii="David" w:hAnsi="David" w:cs="David" w:hint="cs"/>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186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128</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EC0181" w:rsidP="00355703">
                  <w:pPr>
                    <w:pStyle w:val="TableBlock"/>
                    <w:rPr>
                      <w:rFonts w:ascii="David" w:hAnsi="David" w:cs="David"/>
                      <w:rtl/>
                    </w:rPr>
                  </w:pPr>
                  <w:r>
                    <w:rPr>
                      <w:rFonts w:ascii="David" w:hAnsi="David" w:cs="David" w:hint="cs"/>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186א</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128</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 xml:space="preserve">באופניים, תלת-אופן שמותקן בהם מנוע המניע אותם או מסייע בכך או </w:t>
                  </w:r>
                  <w:proofErr w:type="spellStart"/>
                  <w:r w:rsidRPr="00355703">
                    <w:rPr>
                      <w:rFonts w:ascii="David" w:hAnsi="David" w:cs="David"/>
                      <w:rtl/>
                    </w:rPr>
                    <w:t>בגלגינוע</w:t>
                  </w:r>
                  <w:proofErr w:type="spellEnd"/>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EC0181" w:rsidP="00355703">
                  <w:pPr>
                    <w:pStyle w:val="TableBlock"/>
                    <w:rPr>
                      <w:rFonts w:ascii="David" w:hAnsi="David" w:cs="David"/>
                      <w:rtl/>
                    </w:rPr>
                  </w:pPr>
                  <w:r>
                    <w:rPr>
                      <w:rFonts w:ascii="David" w:hAnsi="David" w:cs="David" w:hint="cs"/>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186ב</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129</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באופניים או בתלת-אופן שמותקן בהם מנוע המניע אותם או מסייע בכך</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186ג</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129(ג),(ה) ו-(ז)</w:t>
                  </w:r>
                </w:p>
              </w:tc>
              <w:tc>
                <w:tcPr>
                  <w:tcW w:w="4539" w:type="dxa"/>
                </w:tcPr>
                <w:p w:rsidR="00355703" w:rsidRPr="00355703" w:rsidRDefault="00EC0181"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roofErr w:type="spellStart"/>
                  <w:r>
                    <w:rPr>
                      <w:rFonts w:ascii="David" w:hAnsi="David" w:cs="David"/>
                      <w:rtl/>
                    </w:rPr>
                    <w:t>בגלגי</w:t>
                  </w:r>
                  <w:r w:rsidR="00355703" w:rsidRPr="00355703">
                    <w:rPr>
                      <w:rFonts w:ascii="David" w:hAnsi="David" w:cs="David"/>
                      <w:rtl/>
                    </w:rPr>
                    <w:t>נוע</w:t>
                  </w:r>
                  <w:proofErr w:type="spellEnd"/>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187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129</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187א</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129א(א)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187ב</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129א(ב)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188</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130</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188א</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130</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באופניים עם מנוע עזר</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189</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131</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189א</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131</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באופניים עם מנוע עזר</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190</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132</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190א</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132</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באופניים שמותקן בהם מנוע המניע אותם או מסייע בכך</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191</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136</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192</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137</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למעט חיית מחמד</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193</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137</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בחיית מחמד</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194</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138</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195</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139</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196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141</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197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142</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197א</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142א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198</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143(ב),(ג),</w:t>
                  </w:r>
                  <w:r w:rsidR="00EC0181">
                    <w:rPr>
                      <w:rFonts w:ascii="David" w:hAnsi="David" w:cs="David" w:hint="cs"/>
                      <w:rtl/>
                    </w:rPr>
                    <w:t xml:space="preserve"> </w:t>
                  </w:r>
                  <w:r w:rsidRPr="00355703">
                    <w:rPr>
                      <w:rFonts w:ascii="David" w:hAnsi="David" w:cs="David"/>
                      <w:rtl/>
                    </w:rPr>
                    <w:t>(ד),(ו) או (ח)</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199</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145(ב)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200</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148</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ה</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201</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149</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202</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150</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203</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151</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למעט במדרכה</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ה</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204</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151</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במדרכה</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205</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152</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למעט במדרכה</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ה</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206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152</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במדרכה</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207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153</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208</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154</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209</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155</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 xml:space="preserve">למעט </w:t>
                  </w:r>
                  <w:proofErr w:type="spellStart"/>
                  <w:r w:rsidRPr="00355703">
                    <w:rPr>
                      <w:rFonts w:ascii="David" w:hAnsi="David" w:cs="David"/>
                      <w:rtl/>
                    </w:rPr>
                    <w:t>הםרשת</w:t>
                  </w:r>
                  <w:proofErr w:type="spellEnd"/>
                  <w:r w:rsidRPr="00355703">
                    <w:rPr>
                      <w:rFonts w:ascii="David" w:hAnsi="David" w:cs="David"/>
                      <w:rtl/>
                    </w:rPr>
                    <w:t xml:space="preserve"> גזים ועשן</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ה</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210</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155</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בהפרשת גזים ועשן</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211</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156</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212</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157</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213</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158</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בגרימת הפרעה או סיכון</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214</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159</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125</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160</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216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161</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217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165</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218</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(נמחק)</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219</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169</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בנוהג ברכב</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220</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169</w:t>
                  </w:r>
                </w:p>
              </w:tc>
              <w:tc>
                <w:tcPr>
                  <w:tcW w:w="4539" w:type="dxa"/>
                </w:tcPr>
                <w:p w:rsidR="00355703" w:rsidRPr="00355703" w:rsidRDefault="00970570" w:rsidP="00970570">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Pr>
                      <w:rFonts w:ascii="David" w:hAnsi="David" w:cs="David" w:hint="cs"/>
                      <w:rtl/>
                    </w:rPr>
                    <w:t>בעובר דרך שאיננו נהג</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221</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222</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222</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223</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ד</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223</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230(ב) או (ג)</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224</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236 (א)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ד</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225</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254(ג)</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226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255(ב)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227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261(ב)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228</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280(א)(2)</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229</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295</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ה</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230</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297</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231</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298(2)</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232</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299</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233</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300</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234</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301(ב)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235</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305(א) או (ב)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236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306</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רכב שנאסר לשימוש לפי תקנות 306 או 307</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ה</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237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306</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רכב שלא נאסר לשימוש לפי תקנות 306 או 307</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238</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314(ד)</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239</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335</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בעוצמת אור בלתי שווה</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240</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341(א)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241</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342(א)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242</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342(ג)</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243</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343(א)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244</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350(א)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245</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351</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246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356(א)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247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357(א)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248</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358(א)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249</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359(ג)</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250</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359(ד)</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251</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360</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252</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362</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253</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363</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254</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364</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255</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364ד(ב)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ד</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256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365</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257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366</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258</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367</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259</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368</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260</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370</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261</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370ב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261א</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370ג(ב)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262</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383א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263</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383ב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264</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383ג</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265</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383ד</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266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383ה</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267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383ו</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268</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383ז</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269</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383ט</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270</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383י</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271</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397(א)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272</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405</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273</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411</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274</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418</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275</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420</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276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422</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277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423</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278</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425(ב)</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279</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428</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280</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429</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281</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435</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282</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436</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283</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437(1)</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284</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437(2)</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285</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438</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286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439</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287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440</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288</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441</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289</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443</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290</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448</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291</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452</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292</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453</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293</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456</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294</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458</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295</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459</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296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461</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297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462(א)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למעט כלבים בלא זמם</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298</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462(א)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בכלבים בלא זמם</w:t>
                  </w: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299</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463(1) או (2)</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300</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464(א)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301</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478(א)(3) או (4)</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302</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483(א)</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303</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488</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ד</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304</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(נמחק)</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305</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500</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306</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504</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307</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506</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א</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308</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507</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308א</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516</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308ב</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517</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ג</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309</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569</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r w:rsidR="00355703" w:rsidRPr="00355703" w:rsidTr="00EC0181">
              <w:trPr>
                <w:jc w:val="center"/>
              </w:trPr>
              <w:tc>
                <w:tcPr>
                  <w:cnfStyle w:val="001000000000" w:firstRow="0" w:lastRow="0" w:firstColumn="1" w:lastColumn="0" w:oddVBand="0" w:evenVBand="0" w:oddHBand="0" w:evenHBand="0" w:firstRowFirstColumn="0" w:firstRowLastColumn="0" w:lastRowFirstColumn="0" w:lastRowLastColumn="0"/>
                  <w:tcW w:w="713" w:type="dxa"/>
                </w:tcPr>
                <w:p w:rsidR="00355703" w:rsidRPr="00355703" w:rsidRDefault="00355703" w:rsidP="00355703">
                  <w:pPr>
                    <w:pStyle w:val="TableBlock"/>
                    <w:rPr>
                      <w:rFonts w:ascii="David" w:hAnsi="David" w:cs="David"/>
                      <w:rtl/>
                    </w:rPr>
                  </w:pPr>
                  <w:r w:rsidRPr="00355703">
                    <w:rPr>
                      <w:rFonts w:ascii="David" w:hAnsi="David" w:cs="David"/>
                      <w:rtl/>
                    </w:rPr>
                    <w:t>310</w:t>
                  </w:r>
                </w:p>
              </w:tc>
              <w:tc>
                <w:tcPr>
                  <w:tcW w:w="1134"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r w:rsidRPr="00355703">
                    <w:rPr>
                      <w:rFonts w:ascii="David" w:hAnsi="David" w:cs="David"/>
                      <w:rtl/>
                    </w:rPr>
                    <w:t>570</w:t>
                  </w:r>
                </w:p>
              </w:tc>
              <w:tc>
                <w:tcPr>
                  <w:tcW w:w="4539" w:type="dxa"/>
                </w:tcPr>
                <w:p w:rsidR="00355703" w:rsidRPr="00355703" w:rsidRDefault="00355703" w:rsidP="00355703">
                  <w:pPr>
                    <w:pStyle w:val="TableBlock"/>
                    <w:cnfStyle w:val="000000000000" w:firstRow="0" w:lastRow="0" w:firstColumn="0" w:lastColumn="0" w:oddVBand="0" w:evenVBand="0" w:oddHBand="0" w:evenHBand="0" w:firstRowFirstColumn="0" w:firstRowLastColumn="0" w:lastRowFirstColumn="0" w:lastRowLastColumn="0"/>
                    <w:rPr>
                      <w:rFonts w:ascii="David" w:hAnsi="David" w:cs="David"/>
                      <w:rtl/>
                    </w:rPr>
                  </w:pPr>
                </w:p>
              </w:tc>
              <w:tc>
                <w:tcPr>
                  <w:cnfStyle w:val="000100000000" w:firstRow="0" w:lastRow="0" w:firstColumn="0" w:lastColumn="1" w:oddVBand="0" w:evenVBand="0" w:oddHBand="0" w:evenHBand="0" w:firstRowFirstColumn="0" w:firstRowLastColumn="0" w:lastRowFirstColumn="0" w:lastRowLastColumn="0"/>
                  <w:tcW w:w="644" w:type="dxa"/>
                </w:tcPr>
                <w:p w:rsidR="00355703" w:rsidRPr="00355703" w:rsidRDefault="00355703" w:rsidP="00355703">
                  <w:pPr>
                    <w:pStyle w:val="TableBlock"/>
                    <w:rPr>
                      <w:rFonts w:ascii="David" w:hAnsi="David" w:cs="David"/>
                      <w:rtl/>
                    </w:rPr>
                  </w:pPr>
                  <w:r w:rsidRPr="00355703">
                    <w:rPr>
                      <w:rFonts w:ascii="David" w:hAnsi="David" w:cs="David"/>
                      <w:rtl/>
                    </w:rPr>
                    <w:t>ב</w:t>
                  </w:r>
                </w:p>
              </w:tc>
            </w:tr>
          </w:tbl>
          <w:p w:rsidR="00355703" w:rsidRPr="00D41E37" w:rsidRDefault="00355703" w:rsidP="00FE1884">
            <w:pPr>
              <w:pStyle w:val="TableBlock"/>
              <w:jc w:val="center"/>
              <w:rPr>
                <w:highlight w:val="yellow"/>
                <w:rtl/>
              </w:rPr>
            </w:pP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7146" w:type="dxa"/>
            <w:gridSpan w:val="5"/>
          </w:tcPr>
          <w:p w:rsidR="00C42AFA" w:rsidRPr="00C34DE2" w:rsidRDefault="00C42AFA" w:rsidP="00C42AFA">
            <w:pPr>
              <w:pStyle w:val="TableHead"/>
            </w:pPr>
            <w:bookmarkStart w:id="117" w:name="_Toc74773804"/>
            <w:bookmarkStart w:id="118" w:name="_Toc75433182"/>
            <w:r>
              <w:rPr>
                <w:rFonts w:hint="cs"/>
                <w:rtl/>
              </w:rPr>
              <w:t>תוספת שלישית</w:t>
            </w:r>
            <w:bookmarkEnd w:id="117"/>
            <w:bookmarkEnd w:id="118"/>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7146" w:type="dxa"/>
            <w:gridSpan w:val="5"/>
          </w:tcPr>
          <w:p w:rsidR="00C42AFA" w:rsidRPr="007B09A1" w:rsidRDefault="00C42AFA" w:rsidP="00C42AFA">
            <w:pPr>
              <w:pStyle w:val="TableHead"/>
              <w:rPr>
                <w:b w:val="0"/>
                <w:bCs w:val="0"/>
              </w:rPr>
            </w:pPr>
            <w:bookmarkStart w:id="119" w:name="_Toc74773805"/>
            <w:bookmarkStart w:id="120" w:name="_Toc74773937"/>
            <w:bookmarkStart w:id="121" w:name="_Toc75433183"/>
            <w:r>
              <w:rPr>
                <w:rFonts w:hint="cs"/>
                <w:rtl/>
              </w:rPr>
              <w:t>(סעיף 6)</w:t>
            </w:r>
            <w:bookmarkEnd w:id="119"/>
            <w:bookmarkEnd w:id="120"/>
            <w:bookmarkEnd w:id="121"/>
          </w:p>
        </w:tc>
      </w:tr>
      <w:tr w:rsidR="00C42AFA">
        <w:trPr>
          <w:cantSplit/>
          <w:trHeight w:val="60"/>
        </w:trPr>
        <w:tc>
          <w:tcPr>
            <w:tcW w:w="1871" w:type="dxa"/>
          </w:tcPr>
          <w:p w:rsidR="00C42AFA" w:rsidRDefault="00C42AFA" w:rsidP="00C42AFA">
            <w:pPr>
              <w:pStyle w:val="TableSideHeading"/>
              <w:keepLines w:val="0"/>
            </w:pPr>
          </w:p>
        </w:tc>
        <w:tc>
          <w:tcPr>
            <w:tcW w:w="624" w:type="dxa"/>
          </w:tcPr>
          <w:p w:rsidR="00C42AFA" w:rsidRDefault="00C42AFA" w:rsidP="00C42AFA">
            <w:pPr>
              <w:pStyle w:val="TableText"/>
              <w:keepLines w:val="0"/>
              <w:tabs>
                <w:tab w:val="clear" w:pos="624"/>
              </w:tabs>
            </w:pPr>
          </w:p>
        </w:tc>
        <w:tc>
          <w:tcPr>
            <w:tcW w:w="7146" w:type="dxa"/>
            <w:gridSpan w:val="5"/>
          </w:tcPr>
          <w:p w:rsidR="00C42AFA" w:rsidRPr="00155AB1" w:rsidRDefault="00C42AFA" w:rsidP="00C42AFA">
            <w:pPr>
              <w:pStyle w:val="TableBlock"/>
              <w:rPr>
                <w:rtl/>
              </w:rPr>
            </w:pPr>
            <w:r>
              <w:rPr>
                <w:rFonts w:hint="cs"/>
                <w:rtl/>
              </w:rPr>
              <w:t xml:space="preserve">הפרות תעבורה </w:t>
            </w:r>
            <w:r w:rsidRPr="00B1193D">
              <w:rPr>
                <w:rtl/>
              </w:rPr>
              <w:t xml:space="preserve">כמפורט להלן, ובלבד שלא נעברה בנסיבות שתקנה 72(א)(2) או (2א) לתקנות התעבורה חלה לגביהן, </w:t>
            </w:r>
            <w:r>
              <w:rPr>
                <w:rFonts w:hint="cs"/>
                <w:rtl/>
              </w:rPr>
              <w:t>לפי:</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2D01EE">
            <w:pPr>
              <w:pStyle w:val="TableText"/>
              <w:numPr>
                <w:ilvl w:val="0"/>
                <w:numId w:val="43"/>
              </w:numPr>
            </w:pPr>
          </w:p>
        </w:tc>
        <w:tc>
          <w:tcPr>
            <w:tcW w:w="6522" w:type="dxa"/>
            <w:gridSpan w:val="4"/>
          </w:tcPr>
          <w:p w:rsidR="00C42AFA" w:rsidRDefault="00C42AFA" w:rsidP="00C42AFA">
            <w:pPr>
              <w:pStyle w:val="TableBlock"/>
            </w:pPr>
            <w:r w:rsidRPr="00155AB1">
              <w:rPr>
                <w:rtl/>
              </w:rPr>
              <w:t>תקנה 28(ב) לתקנות התעבורה</w:t>
            </w:r>
            <w:r w:rsidRPr="00155AB1">
              <w:rPr>
                <w:rFonts w:hint="cs"/>
                <w:rtl/>
              </w:rPr>
              <w:t>;</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2D01EE">
            <w:pPr>
              <w:pStyle w:val="TableText"/>
              <w:numPr>
                <w:ilvl w:val="0"/>
                <w:numId w:val="43"/>
              </w:numPr>
            </w:pPr>
          </w:p>
        </w:tc>
        <w:tc>
          <w:tcPr>
            <w:tcW w:w="6522" w:type="dxa"/>
            <w:gridSpan w:val="4"/>
          </w:tcPr>
          <w:p w:rsidR="00C42AFA" w:rsidRDefault="00C42AFA" w:rsidP="00C42AFA">
            <w:pPr>
              <w:pStyle w:val="TableBlock"/>
            </w:pPr>
            <w:r w:rsidRPr="00BB5729">
              <w:rPr>
                <w:rtl/>
              </w:rPr>
              <w:t xml:space="preserve">תקנה </w:t>
            </w:r>
            <w:r>
              <w:rPr>
                <w:rFonts w:hint="cs"/>
                <w:rtl/>
              </w:rPr>
              <w:t>34(א)</w:t>
            </w:r>
            <w:r w:rsidRPr="00BB5729">
              <w:rPr>
                <w:rtl/>
              </w:rPr>
              <w:t xml:space="preserve"> לתקנות התעבורה</w:t>
            </w:r>
            <w:r w:rsidRPr="00BB5729">
              <w:rPr>
                <w:rFonts w:hint="cs"/>
                <w:rtl/>
              </w:rPr>
              <w:t>;</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2D01EE">
            <w:pPr>
              <w:pStyle w:val="TableText"/>
              <w:numPr>
                <w:ilvl w:val="0"/>
                <w:numId w:val="43"/>
              </w:numPr>
            </w:pPr>
          </w:p>
        </w:tc>
        <w:tc>
          <w:tcPr>
            <w:tcW w:w="6522" w:type="dxa"/>
            <w:gridSpan w:val="4"/>
          </w:tcPr>
          <w:p w:rsidR="00C42AFA" w:rsidRDefault="00C42AFA" w:rsidP="00C42AFA">
            <w:pPr>
              <w:pStyle w:val="TableBlock"/>
            </w:pPr>
            <w:r w:rsidRPr="00BB5729">
              <w:rPr>
                <w:rtl/>
              </w:rPr>
              <w:t xml:space="preserve">תקנה </w:t>
            </w:r>
            <w:r>
              <w:rPr>
                <w:rFonts w:hint="cs"/>
                <w:rtl/>
              </w:rPr>
              <w:t>38(א)</w:t>
            </w:r>
            <w:r w:rsidRPr="00BB5729">
              <w:rPr>
                <w:rtl/>
              </w:rPr>
              <w:t xml:space="preserve"> לתקנות התעבורה</w:t>
            </w:r>
            <w:r w:rsidRPr="00BB5729">
              <w:rPr>
                <w:rFonts w:hint="cs"/>
                <w:rtl/>
              </w:rPr>
              <w:t>;</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2D01EE">
            <w:pPr>
              <w:pStyle w:val="TableText"/>
              <w:numPr>
                <w:ilvl w:val="0"/>
                <w:numId w:val="43"/>
              </w:numPr>
            </w:pPr>
          </w:p>
        </w:tc>
        <w:tc>
          <w:tcPr>
            <w:tcW w:w="6522" w:type="dxa"/>
            <w:gridSpan w:val="4"/>
          </w:tcPr>
          <w:p w:rsidR="00C42AFA" w:rsidRDefault="00C42AFA" w:rsidP="00C42AFA">
            <w:pPr>
              <w:pStyle w:val="TableBlock"/>
            </w:pPr>
            <w:r w:rsidRPr="00BB5729">
              <w:rPr>
                <w:rtl/>
              </w:rPr>
              <w:t xml:space="preserve">תקנה </w:t>
            </w:r>
            <w:r>
              <w:rPr>
                <w:rFonts w:hint="cs"/>
                <w:rtl/>
              </w:rPr>
              <w:t>114</w:t>
            </w:r>
            <w:r w:rsidRPr="00BB5729">
              <w:rPr>
                <w:rtl/>
              </w:rPr>
              <w:t xml:space="preserve"> לתקנות התעבורה</w:t>
            </w:r>
            <w:r w:rsidRPr="00BB5729">
              <w:rPr>
                <w:rFonts w:hint="cs"/>
                <w:rtl/>
              </w:rPr>
              <w:t>;</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2D01EE">
            <w:pPr>
              <w:pStyle w:val="TableText"/>
              <w:numPr>
                <w:ilvl w:val="0"/>
                <w:numId w:val="43"/>
              </w:numPr>
            </w:pPr>
          </w:p>
        </w:tc>
        <w:tc>
          <w:tcPr>
            <w:tcW w:w="6522" w:type="dxa"/>
            <w:gridSpan w:val="4"/>
          </w:tcPr>
          <w:p w:rsidR="00C42AFA" w:rsidRDefault="00C42AFA" w:rsidP="00C42AFA">
            <w:pPr>
              <w:pStyle w:val="TableBlock"/>
            </w:pPr>
            <w:r w:rsidRPr="00155AB1">
              <w:rPr>
                <w:rtl/>
              </w:rPr>
              <w:t>תקנה 122א(ב) לתקנות התעבורה, וכן תקנה 129(א) ו-(ב) לתקנות התעבורה, לרבות כפי שהוחלה על תלת-אופן לפי תקנה 135 לתקנות התעבורה</w:t>
            </w:r>
            <w:r>
              <w:rPr>
                <w:rFonts w:hint="cs"/>
                <w:rtl/>
              </w:rPr>
              <w:t>;</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2D01EE">
            <w:pPr>
              <w:pStyle w:val="TableText"/>
              <w:numPr>
                <w:ilvl w:val="0"/>
                <w:numId w:val="43"/>
              </w:numPr>
            </w:pPr>
          </w:p>
        </w:tc>
        <w:tc>
          <w:tcPr>
            <w:tcW w:w="6522" w:type="dxa"/>
            <w:gridSpan w:val="4"/>
          </w:tcPr>
          <w:p w:rsidR="00C42AFA" w:rsidRPr="00155AB1" w:rsidRDefault="00C42AFA" w:rsidP="00C42AFA">
            <w:pPr>
              <w:pStyle w:val="TableBlock"/>
              <w:rPr>
                <w:rtl/>
              </w:rPr>
            </w:pPr>
            <w:r>
              <w:rPr>
                <w:rFonts w:hint="cs"/>
                <w:rtl/>
              </w:rPr>
              <w:t>תקנות 112ב(ג) ו-124 לתקנות התעבורה;</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2D01EE">
            <w:pPr>
              <w:pStyle w:val="TableText"/>
              <w:numPr>
                <w:ilvl w:val="0"/>
                <w:numId w:val="43"/>
              </w:numPr>
            </w:pPr>
          </w:p>
        </w:tc>
        <w:tc>
          <w:tcPr>
            <w:tcW w:w="6522" w:type="dxa"/>
            <w:gridSpan w:val="4"/>
          </w:tcPr>
          <w:p w:rsidR="00C42AFA" w:rsidRPr="00155AB1" w:rsidRDefault="00C42AFA" w:rsidP="00C42AFA">
            <w:pPr>
              <w:pStyle w:val="TableBlock"/>
              <w:rPr>
                <w:rtl/>
              </w:rPr>
            </w:pPr>
            <w:r w:rsidRPr="00155AB1">
              <w:rPr>
                <w:rtl/>
              </w:rPr>
              <w:t xml:space="preserve">תקנה 129(ז) לתקנות התעבורה לרבות כפי שהוחלה על תלת-אופן לפי תקנה 135 לפקודת התעבורה ועל </w:t>
            </w:r>
            <w:proofErr w:type="spellStart"/>
            <w:r w:rsidRPr="00155AB1">
              <w:rPr>
                <w:rtl/>
              </w:rPr>
              <w:t>גלגינוע</w:t>
            </w:r>
            <w:proofErr w:type="spellEnd"/>
            <w:r w:rsidRPr="00155AB1">
              <w:rPr>
                <w:rtl/>
              </w:rPr>
              <w:t xml:space="preserve"> לפי תקנה 122ב(ד) לתקנות התעבורה;</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2D01EE">
            <w:pPr>
              <w:pStyle w:val="TableText"/>
              <w:numPr>
                <w:ilvl w:val="0"/>
                <w:numId w:val="43"/>
              </w:numPr>
            </w:pPr>
          </w:p>
        </w:tc>
        <w:tc>
          <w:tcPr>
            <w:tcW w:w="6522" w:type="dxa"/>
            <w:gridSpan w:val="4"/>
          </w:tcPr>
          <w:p w:rsidR="00C42AFA" w:rsidRPr="00155AB1" w:rsidRDefault="00C42AFA" w:rsidP="00C42AFA">
            <w:pPr>
              <w:pStyle w:val="TableBlock"/>
              <w:rPr>
                <w:rtl/>
              </w:rPr>
            </w:pPr>
            <w:r w:rsidRPr="00BB5729">
              <w:rPr>
                <w:rtl/>
              </w:rPr>
              <w:t xml:space="preserve">תקנה </w:t>
            </w:r>
            <w:r>
              <w:rPr>
                <w:rFonts w:hint="cs"/>
                <w:rtl/>
              </w:rPr>
              <w:t>169</w:t>
            </w:r>
            <w:r w:rsidRPr="00BB5729">
              <w:rPr>
                <w:rtl/>
              </w:rPr>
              <w:t xml:space="preserve"> לתקנות התעבורה</w:t>
            </w:r>
            <w:r w:rsidRPr="00BB5729">
              <w:rPr>
                <w:rFonts w:hint="cs"/>
                <w:rtl/>
              </w:rPr>
              <w:t>;</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2D01EE">
            <w:pPr>
              <w:pStyle w:val="TableText"/>
              <w:numPr>
                <w:ilvl w:val="0"/>
                <w:numId w:val="43"/>
              </w:numPr>
            </w:pPr>
          </w:p>
        </w:tc>
        <w:tc>
          <w:tcPr>
            <w:tcW w:w="6522" w:type="dxa"/>
            <w:gridSpan w:val="4"/>
          </w:tcPr>
          <w:p w:rsidR="00C42AFA" w:rsidRPr="00155AB1" w:rsidRDefault="00C42AFA" w:rsidP="00283512">
            <w:pPr>
              <w:pStyle w:val="TableBlock"/>
              <w:rPr>
                <w:rtl/>
              </w:rPr>
            </w:pPr>
            <w:r>
              <w:rPr>
                <w:rFonts w:hint="cs"/>
                <w:rtl/>
              </w:rPr>
              <w:t xml:space="preserve">התוספת האחת עשרה לפקודת התעבורה; אכיפת הפרות תעבורה אלו תעשה בהתאם לתנאים ולסמכויות הקבועים בסעיף 27א1 לפקודת התעבורה, ולא יעשה לשם אכיפתן שימוש בסמכויות הנתונות לגורם אכיפה שהוסמך כאמור בסעיף 6(א) </w:t>
            </w:r>
            <w:r w:rsidR="00283512">
              <w:rPr>
                <w:rFonts w:hint="cs"/>
                <w:rtl/>
              </w:rPr>
              <w:t>ל</w:t>
            </w:r>
            <w:r>
              <w:rPr>
                <w:rFonts w:hint="cs"/>
                <w:rtl/>
              </w:rPr>
              <w:t>חוק.</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7146" w:type="dxa"/>
            <w:gridSpan w:val="5"/>
          </w:tcPr>
          <w:p w:rsidR="00C42AFA" w:rsidRPr="00C34DE2" w:rsidRDefault="00C42AFA" w:rsidP="00C42AFA">
            <w:pPr>
              <w:pStyle w:val="TableHead"/>
            </w:pPr>
            <w:bookmarkStart w:id="122" w:name="_Toc74773806"/>
            <w:bookmarkStart w:id="123" w:name="_Toc75433184"/>
            <w:r>
              <w:rPr>
                <w:rFonts w:hint="cs"/>
                <w:rtl/>
              </w:rPr>
              <w:t>תוספת רביעית</w:t>
            </w:r>
            <w:bookmarkEnd w:id="122"/>
            <w:bookmarkEnd w:id="123"/>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7146" w:type="dxa"/>
            <w:gridSpan w:val="5"/>
          </w:tcPr>
          <w:p w:rsidR="00C42AFA" w:rsidRPr="00AB3999" w:rsidRDefault="00C42AFA" w:rsidP="00C42AFA">
            <w:pPr>
              <w:pStyle w:val="TableHead"/>
              <w:rPr>
                <w:b w:val="0"/>
                <w:bCs w:val="0"/>
              </w:rPr>
            </w:pPr>
            <w:bookmarkStart w:id="124" w:name="_Toc74773807"/>
            <w:bookmarkStart w:id="125" w:name="_Toc74773939"/>
            <w:bookmarkStart w:id="126" w:name="_Toc75433185"/>
            <w:r>
              <w:rPr>
                <w:rFonts w:hint="cs"/>
                <w:b w:val="0"/>
                <w:bCs w:val="0"/>
                <w:rtl/>
              </w:rPr>
              <w:t>(סעיף 30)</w:t>
            </w:r>
            <w:bookmarkEnd w:id="124"/>
            <w:bookmarkEnd w:id="125"/>
            <w:bookmarkEnd w:id="126"/>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2D01EE">
            <w:pPr>
              <w:pStyle w:val="TableText"/>
              <w:numPr>
                <w:ilvl w:val="0"/>
                <w:numId w:val="44"/>
              </w:numPr>
            </w:pPr>
          </w:p>
        </w:tc>
        <w:tc>
          <w:tcPr>
            <w:tcW w:w="6522" w:type="dxa"/>
            <w:gridSpan w:val="4"/>
          </w:tcPr>
          <w:p w:rsidR="00C42AFA" w:rsidRDefault="00C42AFA" w:rsidP="00C42AFA">
            <w:pPr>
              <w:pStyle w:val="TableBlock"/>
            </w:pPr>
            <w:r>
              <w:rPr>
                <w:rFonts w:hint="cs"/>
                <w:rtl/>
              </w:rPr>
              <w:t>משרד התחבורה, לשם מילוי תפקידיו על פי חיקוק לתת, לחדש או לבטל רישיון;</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2D01EE">
            <w:pPr>
              <w:pStyle w:val="TableText"/>
              <w:numPr>
                <w:ilvl w:val="0"/>
                <w:numId w:val="44"/>
              </w:numPr>
            </w:pPr>
          </w:p>
        </w:tc>
        <w:tc>
          <w:tcPr>
            <w:tcW w:w="6522" w:type="dxa"/>
            <w:gridSpan w:val="4"/>
          </w:tcPr>
          <w:p w:rsidR="00C42AFA" w:rsidRDefault="00C42AFA" w:rsidP="00C42AFA">
            <w:pPr>
              <w:pStyle w:val="TableBlock"/>
              <w:rPr>
                <w:rtl/>
              </w:rPr>
            </w:pPr>
            <w:r w:rsidRPr="00EB699F">
              <w:rPr>
                <w:rtl/>
              </w:rPr>
              <w:t>רשות הרישוי לפי פקודת התעבורה</w:t>
            </w:r>
            <w:r>
              <w:rPr>
                <w:rFonts w:hint="cs"/>
                <w:rtl/>
              </w:rPr>
              <w:t xml:space="preserve"> </w:t>
            </w:r>
            <w:r>
              <w:rPr>
                <w:rtl/>
              </w:rPr>
              <w:t>–</w:t>
            </w:r>
            <w:r w:rsidRPr="00EB699F">
              <w:rPr>
                <w:rtl/>
              </w:rPr>
              <w:t xml:space="preserve"> מידע מן </w:t>
            </w:r>
            <w:r>
              <w:rPr>
                <w:rFonts w:hint="cs"/>
                <w:rtl/>
              </w:rPr>
              <w:t xml:space="preserve">מרשם התעבורה </w:t>
            </w:r>
            <w:proofErr w:type="spellStart"/>
            <w:r>
              <w:rPr>
                <w:rFonts w:hint="cs"/>
                <w:rtl/>
              </w:rPr>
              <w:t>המינהלי</w:t>
            </w:r>
            <w:proofErr w:type="spellEnd"/>
            <w:r w:rsidRPr="00EB699F">
              <w:rPr>
                <w:rtl/>
              </w:rPr>
              <w:t xml:space="preserve"> בדבר כל </w:t>
            </w:r>
            <w:r>
              <w:rPr>
                <w:rFonts w:hint="cs"/>
                <w:rtl/>
              </w:rPr>
              <w:t>הפרת תעבורה</w:t>
            </w:r>
            <w:r w:rsidRPr="00EB699F">
              <w:rPr>
                <w:rtl/>
              </w:rPr>
              <w:t xml:space="preserve"> הכרוכה בנהיגת רכב</w:t>
            </w:r>
            <w:r>
              <w:rPr>
                <w:rFonts w:hint="cs"/>
                <w:rtl/>
              </w:rPr>
              <w:t>;</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2D01EE">
            <w:pPr>
              <w:pStyle w:val="TableText"/>
              <w:numPr>
                <w:ilvl w:val="0"/>
                <w:numId w:val="44"/>
              </w:numPr>
            </w:pPr>
          </w:p>
        </w:tc>
        <w:tc>
          <w:tcPr>
            <w:tcW w:w="6522" w:type="dxa"/>
            <w:gridSpan w:val="4"/>
          </w:tcPr>
          <w:p w:rsidR="00C42AFA" w:rsidRDefault="00C42AFA" w:rsidP="00C42AFA">
            <w:pPr>
              <w:pStyle w:val="TableBlock"/>
              <w:rPr>
                <w:rtl/>
              </w:rPr>
            </w:pPr>
            <w:r>
              <w:rPr>
                <w:rFonts w:hint="cs"/>
                <w:rtl/>
              </w:rPr>
              <w:t xml:space="preserve">רופא המוסמך או ועדת ערר </w:t>
            </w:r>
            <w:r>
              <w:rPr>
                <w:rtl/>
              </w:rPr>
              <w:t>–</w:t>
            </w:r>
            <w:r>
              <w:rPr>
                <w:rFonts w:hint="cs"/>
                <w:rtl/>
              </w:rPr>
              <w:t xml:space="preserve"> מידע מן מרשם התעבורה </w:t>
            </w:r>
            <w:proofErr w:type="spellStart"/>
            <w:r>
              <w:rPr>
                <w:rFonts w:hint="cs"/>
                <w:rtl/>
              </w:rPr>
              <w:t>המינהלי</w:t>
            </w:r>
            <w:proofErr w:type="spellEnd"/>
            <w:r>
              <w:rPr>
                <w:rFonts w:hint="cs"/>
                <w:rtl/>
              </w:rPr>
              <w:t xml:space="preserve"> על מבקש רישיון נהיגה או בעל רישיון נהיגה העומד לבדיקה של רופא מוסמך לשם מתן אישור רפואי לנהיגה לפי תקנה 194 לתקנות התעבורה, התשכ"א-1961</w:t>
            </w:r>
            <w:r>
              <w:rPr>
                <w:rStyle w:val="a9"/>
                <w:rtl/>
              </w:rPr>
              <w:footnoteReference w:id="23"/>
            </w:r>
            <w:r>
              <w:rPr>
                <w:rFonts w:hint="cs"/>
                <w:rtl/>
              </w:rPr>
              <w:t xml:space="preserve">. בסעיף קטן זה, "ועדת ערר" </w:t>
            </w:r>
            <w:r>
              <w:rPr>
                <w:rtl/>
              </w:rPr>
              <w:t>–</w:t>
            </w:r>
            <w:r>
              <w:rPr>
                <w:rFonts w:hint="cs"/>
                <w:rtl/>
              </w:rPr>
              <w:t xml:space="preserve"> כמשמעותה בסעיף 55א לפקודת התעבורה;</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2D01EE">
            <w:pPr>
              <w:pStyle w:val="TableText"/>
              <w:numPr>
                <w:ilvl w:val="0"/>
                <w:numId w:val="44"/>
              </w:numPr>
            </w:pPr>
          </w:p>
        </w:tc>
        <w:tc>
          <w:tcPr>
            <w:tcW w:w="6522" w:type="dxa"/>
            <w:gridSpan w:val="4"/>
          </w:tcPr>
          <w:p w:rsidR="00C42AFA" w:rsidRDefault="00C42AFA" w:rsidP="00C42AFA">
            <w:pPr>
              <w:pStyle w:val="TableBlock"/>
              <w:rPr>
                <w:rtl/>
              </w:rPr>
            </w:pPr>
            <w:r>
              <w:rPr>
                <w:rFonts w:hint="cs"/>
                <w:rtl/>
              </w:rPr>
              <w:t>המשטרה הצבאית;</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2D01EE">
            <w:pPr>
              <w:pStyle w:val="TableText"/>
              <w:numPr>
                <w:ilvl w:val="0"/>
                <w:numId w:val="44"/>
              </w:numPr>
            </w:pPr>
          </w:p>
        </w:tc>
        <w:tc>
          <w:tcPr>
            <w:tcW w:w="6522" w:type="dxa"/>
            <w:gridSpan w:val="4"/>
          </w:tcPr>
          <w:p w:rsidR="00C42AFA" w:rsidRDefault="00C42AFA" w:rsidP="00C42AFA">
            <w:pPr>
              <w:pStyle w:val="TableBlock"/>
              <w:rPr>
                <w:rtl/>
              </w:rPr>
            </w:pPr>
            <w:r>
              <w:rPr>
                <w:rFonts w:hint="cs"/>
                <w:rtl/>
              </w:rPr>
              <w:t>בית משפט או בית דין, אם הגילוי הוא מהותי לנושא הדיון</w:t>
            </w:r>
            <w:r w:rsidRPr="00AB3999">
              <w:rPr>
                <w:rFonts w:hint="cs"/>
                <w:rtl/>
              </w:rPr>
              <w:t>;</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2D01EE">
            <w:pPr>
              <w:pStyle w:val="TableText"/>
              <w:numPr>
                <w:ilvl w:val="0"/>
                <w:numId w:val="44"/>
              </w:numPr>
            </w:pPr>
          </w:p>
        </w:tc>
        <w:tc>
          <w:tcPr>
            <w:tcW w:w="6522" w:type="dxa"/>
            <w:gridSpan w:val="4"/>
          </w:tcPr>
          <w:p w:rsidR="00C42AFA" w:rsidRDefault="00C42AFA" w:rsidP="00C42AFA">
            <w:pPr>
              <w:pStyle w:val="TableBlock"/>
              <w:rPr>
                <w:rtl/>
              </w:rPr>
            </w:pPr>
            <w:r w:rsidRPr="00EA55E0">
              <w:rPr>
                <w:rtl/>
              </w:rPr>
              <w:t>פרקליט צבאי, תובע צבאי</w:t>
            </w:r>
            <w:r>
              <w:rPr>
                <w:rFonts w:hint="cs"/>
                <w:rtl/>
              </w:rPr>
              <w:t>;</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2D01EE">
            <w:pPr>
              <w:pStyle w:val="TableText"/>
              <w:numPr>
                <w:ilvl w:val="0"/>
                <w:numId w:val="44"/>
              </w:numPr>
            </w:pPr>
          </w:p>
        </w:tc>
        <w:tc>
          <w:tcPr>
            <w:tcW w:w="6522" w:type="dxa"/>
            <w:gridSpan w:val="4"/>
          </w:tcPr>
          <w:p w:rsidR="00C42AFA" w:rsidRDefault="00C42AFA" w:rsidP="00C42AFA">
            <w:pPr>
              <w:pStyle w:val="TableBlock"/>
              <w:rPr>
                <w:rtl/>
              </w:rPr>
            </w:pPr>
            <w:r w:rsidRPr="000F7D25">
              <w:rPr>
                <w:rtl/>
              </w:rPr>
              <w:t>היועץ המשפטי לממשלה ובא כוחו, מי שהיועץ המשפטי לממשלה אצל לו את סמכותו לעכב הליכים פליליים ותובע</w:t>
            </w:r>
            <w:r>
              <w:rPr>
                <w:rFonts w:hint="cs"/>
                <w:rtl/>
              </w:rPr>
              <w:t>;</w:t>
            </w:r>
          </w:p>
        </w:tc>
      </w:tr>
      <w:tr w:rsidR="00C42AFA">
        <w:trPr>
          <w:cantSplit/>
          <w:trHeight w:val="60"/>
        </w:trPr>
        <w:tc>
          <w:tcPr>
            <w:tcW w:w="1871" w:type="dxa"/>
          </w:tcPr>
          <w:p w:rsidR="00C42AFA" w:rsidRDefault="00C42AFA" w:rsidP="00C42AFA">
            <w:pPr>
              <w:pStyle w:val="TableSideHeading"/>
            </w:pPr>
          </w:p>
        </w:tc>
        <w:tc>
          <w:tcPr>
            <w:tcW w:w="624" w:type="dxa"/>
          </w:tcPr>
          <w:p w:rsidR="00C42AFA" w:rsidRDefault="00C42AFA" w:rsidP="00C42AFA">
            <w:pPr>
              <w:pStyle w:val="TableText"/>
            </w:pPr>
          </w:p>
        </w:tc>
        <w:tc>
          <w:tcPr>
            <w:tcW w:w="624" w:type="dxa"/>
          </w:tcPr>
          <w:p w:rsidR="00C42AFA" w:rsidRDefault="00C42AFA" w:rsidP="002D01EE">
            <w:pPr>
              <w:pStyle w:val="TableText"/>
              <w:numPr>
                <w:ilvl w:val="0"/>
                <w:numId w:val="44"/>
              </w:numPr>
            </w:pPr>
          </w:p>
        </w:tc>
        <w:tc>
          <w:tcPr>
            <w:tcW w:w="6522" w:type="dxa"/>
            <w:gridSpan w:val="4"/>
          </w:tcPr>
          <w:p w:rsidR="00C42AFA" w:rsidRPr="000F7D25" w:rsidRDefault="00C42AFA" w:rsidP="00C42AFA">
            <w:pPr>
              <w:pStyle w:val="TableBlock"/>
              <w:rPr>
                <w:rtl/>
              </w:rPr>
            </w:pPr>
            <w:r w:rsidRPr="00EA55E0">
              <w:rPr>
                <w:rFonts w:hint="eastAsia"/>
                <w:rtl/>
              </w:rPr>
              <w:t>נאשם</w:t>
            </w:r>
            <w:r w:rsidRPr="00EA55E0">
              <w:rPr>
                <w:rtl/>
              </w:rPr>
              <w:t xml:space="preserve"> </w:t>
            </w:r>
            <w:proofErr w:type="spellStart"/>
            <w:r w:rsidRPr="00EA55E0">
              <w:rPr>
                <w:rtl/>
              </w:rPr>
              <w:t>וסניגורו</w:t>
            </w:r>
            <w:proofErr w:type="spellEnd"/>
            <w:r>
              <w:rPr>
                <w:rFonts w:hint="cs"/>
                <w:rtl/>
              </w:rPr>
              <w:t xml:space="preserve">, </w:t>
            </w:r>
            <w:r w:rsidRPr="00EA55E0">
              <w:rPr>
                <w:rtl/>
              </w:rPr>
              <w:t>עצור</w:t>
            </w:r>
            <w:r>
              <w:rPr>
                <w:rFonts w:hint="cs"/>
                <w:rtl/>
              </w:rPr>
              <w:t xml:space="preserve"> או</w:t>
            </w:r>
            <w:r w:rsidRPr="00EA55E0">
              <w:rPr>
                <w:rtl/>
              </w:rPr>
              <w:t xml:space="preserve"> בא כוחו </w:t>
            </w:r>
            <w:r>
              <w:rPr>
                <w:rFonts w:hint="cs"/>
                <w:rtl/>
              </w:rPr>
              <w:t xml:space="preserve">וכן עורר ובא כוחו </w:t>
            </w:r>
            <w:r>
              <w:rPr>
                <w:rtl/>
              </w:rPr>
              <w:t>–</w:t>
            </w:r>
            <w:r w:rsidRPr="00EA55E0">
              <w:rPr>
                <w:rtl/>
              </w:rPr>
              <w:t xml:space="preserve"> </w:t>
            </w:r>
            <w:proofErr w:type="spellStart"/>
            <w:r w:rsidRPr="00EA55E0">
              <w:rPr>
                <w:rtl/>
              </w:rPr>
              <w:t>לענין</w:t>
            </w:r>
            <w:proofErr w:type="spellEnd"/>
            <w:r w:rsidRPr="00EA55E0">
              <w:rPr>
                <w:rtl/>
              </w:rPr>
              <w:t xml:space="preserve"> מידע על הנאשם</w:t>
            </w:r>
            <w:r>
              <w:rPr>
                <w:rFonts w:hint="cs"/>
                <w:rtl/>
              </w:rPr>
              <w:t xml:space="preserve">, </w:t>
            </w:r>
            <w:r w:rsidRPr="00EA55E0">
              <w:rPr>
                <w:rtl/>
              </w:rPr>
              <w:t xml:space="preserve">העצור </w:t>
            </w:r>
            <w:r>
              <w:rPr>
                <w:rFonts w:hint="cs"/>
                <w:rtl/>
              </w:rPr>
              <w:t xml:space="preserve">או העורר </w:t>
            </w:r>
            <w:r w:rsidRPr="00EA55E0">
              <w:rPr>
                <w:rtl/>
              </w:rPr>
              <w:t>לצורך הליך שהוא מנהל</w:t>
            </w:r>
            <w:r>
              <w:rPr>
                <w:rFonts w:hint="cs"/>
                <w:rtl/>
              </w:rPr>
              <w:t>.</w:t>
            </w:r>
          </w:p>
        </w:tc>
      </w:tr>
    </w:tbl>
    <w:p w:rsidR="00347EE8" w:rsidRDefault="00347EE8" w:rsidP="000A70C2"/>
    <w:p w:rsidR="00347EE8" w:rsidRDefault="00347EE8" w:rsidP="000A70C2">
      <w:pPr>
        <w:pStyle w:val="HeadDivreiHesber"/>
        <w:rPr>
          <w:rtl/>
        </w:rPr>
      </w:pPr>
      <w:bookmarkStart w:id="127" w:name="_Toc74773808"/>
      <w:bookmarkStart w:id="128" w:name="_Toc75433186"/>
      <w:r>
        <w:rPr>
          <w:rtl/>
        </w:rPr>
        <w:t>דברי הסבר</w:t>
      </w:r>
      <w:bookmarkEnd w:id="127"/>
      <w:bookmarkEnd w:id="128"/>
    </w:p>
    <w:p w:rsidR="00AB3999" w:rsidRPr="007C781C" w:rsidRDefault="00AB3999" w:rsidP="00AB3999">
      <w:pPr>
        <w:ind w:left="-1"/>
        <w:rPr>
          <w:b/>
          <w:bCs/>
          <w:sz w:val="26"/>
          <w:szCs w:val="26"/>
          <w:rtl/>
        </w:rPr>
      </w:pPr>
      <w:r w:rsidRPr="007C781C">
        <w:rPr>
          <w:rFonts w:hint="cs"/>
          <w:b/>
          <w:bCs/>
          <w:sz w:val="26"/>
          <w:szCs w:val="26"/>
          <w:rtl/>
        </w:rPr>
        <w:t>כללי</w:t>
      </w:r>
    </w:p>
    <w:p w:rsidR="00AB3999" w:rsidRDefault="00AB3999" w:rsidP="00333B45">
      <w:pPr>
        <w:pStyle w:val="Hesber1st"/>
        <w:tabs>
          <w:tab w:val="clear" w:pos="680"/>
        </w:tabs>
        <w:rPr>
          <w:rtl/>
        </w:rPr>
      </w:pPr>
      <w:r w:rsidRPr="00333B45">
        <w:rPr>
          <w:rFonts w:hint="cs"/>
          <w:rtl/>
        </w:rPr>
        <w:t>מטרת החוק המוצע להפוך חלק מ</w:t>
      </w:r>
      <w:r w:rsidRPr="00333B45">
        <w:rPr>
          <w:rtl/>
        </w:rPr>
        <w:t xml:space="preserve">עבירות תעבורה מסוג "ברירת משפט" </w:t>
      </w:r>
      <w:r w:rsidRPr="00333B45">
        <w:rPr>
          <w:rFonts w:hint="cs"/>
          <w:rtl/>
        </w:rPr>
        <w:t>להפרות תעבורה</w:t>
      </w:r>
      <w:r w:rsidRPr="00333B45">
        <w:rPr>
          <w:rtl/>
        </w:rPr>
        <w:t xml:space="preserve"> </w:t>
      </w:r>
      <w:proofErr w:type="spellStart"/>
      <w:r w:rsidRPr="00333B45">
        <w:rPr>
          <w:rFonts w:hint="cs"/>
          <w:rtl/>
        </w:rPr>
        <w:t>מינהליות</w:t>
      </w:r>
      <w:proofErr w:type="spellEnd"/>
      <w:r w:rsidRPr="00333B45">
        <w:rPr>
          <w:rFonts w:hint="cs"/>
          <w:rtl/>
        </w:rPr>
        <w:t xml:space="preserve"> </w:t>
      </w:r>
      <w:r w:rsidRPr="00333B45">
        <w:rPr>
          <w:rtl/>
        </w:rPr>
        <w:t xml:space="preserve">שיטופלו במישור </w:t>
      </w:r>
      <w:proofErr w:type="spellStart"/>
      <w:r w:rsidRPr="00333B45">
        <w:rPr>
          <w:rtl/>
        </w:rPr>
        <w:t>המינהלי</w:t>
      </w:r>
      <w:proofErr w:type="spellEnd"/>
      <w:r w:rsidRPr="00333B45">
        <w:rPr>
          <w:rFonts w:hint="cs"/>
          <w:rtl/>
        </w:rPr>
        <w:t>, חלף המישור הפלילי כפי שנעשה כיום,</w:t>
      </w:r>
      <w:r w:rsidRPr="00333B45">
        <w:rPr>
          <w:rtl/>
        </w:rPr>
        <w:t xml:space="preserve"> ו</w:t>
      </w:r>
      <w:r w:rsidRPr="00333B45">
        <w:rPr>
          <w:rFonts w:hint="cs"/>
          <w:rtl/>
        </w:rPr>
        <w:t xml:space="preserve">כן להקים </w:t>
      </w:r>
      <w:r w:rsidRPr="00333B45">
        <w:rPr>
          <w:rtl/>
        </w:rPr>
        <w:t xml:space="preserve">בית דין </w:t>
      </w:r>
      <w:proofErr w:type="spellStart"/>
      <w:r w:rsidRPr="00333B45">
        <w:rPr>
          <w:rtl/>
        </w:rPr>
        <w:t>מינהלי</w:t>
      </w:r>
      <w:proofErr w:type="spellEnd"/>
      <w:r w:rsidRPr="00333B45">
        <w:rPr>
          <w:rtl/>
        </w:rPr>
        <w:t xml:space="preserve"> לתעבורה</w:t>
      </w:r>
      <w:r w:rsidRPr="00333B45">
        <w:rPr>
          <w:rFonts w:hint="cs"/>
          <w:rtl/>
        </w:rPr>
        <w:t xml:space="preserve"> תחת משרד המשפטים,</w:t>
      </w:r>
      <w:r w:rsidRPr="00333B45">
        <w:rPr>
          <w:rtl/>
        </w:rPr>
        <w:t xml:space="preserve"> שידון </w:t>
      </w:r>
      <w:proofErr w:type="spellStart"/>
      <w:r w:rsidRPr="00333B45">
        <w:rPr>
          <w:rtl/>
        </w:rPr>
        <w:t>בעררים</w:t>
      </w:r>
      <w:proofErr w:type="spellEnd"/>
      <w:r w:rsidRPr="00333B45">
        <w:rPr>
          <w:rtl/>
        </w:rPr>
        <w:t xml:space="preserve"> המוגשים על הליכים אלה</w:t>
      </w:r>
      <w:r w:rsidRPr="00333B45">
        <w:rPr>
          <w:rFonts w:hint="cs"/>
          <w:rtl/>
        </w:rPr>
        <w:t xml:space="preserve"> (להלן: "</w:t>
      </w:r>
      <w:r w:rsidRPr="00FE1884">
        <w:rPr>
          <w:rFonts w:hint="eastAsia"/>
          <w:b/>
          <w:bCs/>
          <w:rtl/>
        </w:rPr>
        <w:t>בית</w:t>
      </w:r>
      <w:r w:rsidRPr="00FE1884">
        <w:rPr>
          <w:b/>
          <w:bCs/>
          <w:rtl/>
        </w:rPr>
        <w:t xml:space="preserve"> </w:t>
      </w:r>
      <w:r w:rsidRPr="00FE1884">
        <w:rPr>
          <w:rFonts w:hint="eastAsia"/>
          <w:b/>
          <w:bCs/>
          <w:rtl/>
        </w:rPr>
        <w:t>הדין</w:t>
      </w:r>
      <w:r w:rsidRPr="00FE1884">
        <w:rPr>
          <w:b/>
          <w:bCs/>
          <w:rtl/>
        </w:rPr>
        <w:t xml:space="preserve"> </w:t>
      </w:r>
      <w:r w:rsidRPr="00FE1884">
        <w:rPr>
          <w:rFonts w:hint="eastAsia"/>
          <w:b/>
          <w:bCs/>
          <w:rtl/>
        </w:rPr>
        <w:t>לתעבורה</w:t>
      </w:r>
      <w:r w:rsidRPr="00333B45">
        <w:rPr>
          <w:rFonts w:hint="cs"/>
          <w:rtl/>
        </w:rPr>
        <w:t>")</w:t>
      </w:r>
      <w:r w:rsidRPr="00333B45">
        <w:rPr>
          <w:rtl/>
        </w:rPr>
        <w:t xml:space="preserve">. </w:t>
      </w:r>
      <w:r w:rsidRPr="00333B45">
        <w:rPr>
          <w:rFonts w:hint="cs"/>
          <w:rtl/>
        </w:rPr>
        <w:t xml:space="preserve">הוראות </w:t>
      </w:r>
      <w:r w:rsidR="004F0F68">
        <w:rPr>
          <w:rFonts w:hint="cs"/>
          <w:rtl/>
        </w:rPr>
        <w:t>הצעת</w:t>
      </w:r>
      <w:r w:rsidR="004F0F68" w:rsidRPr="00333B45">
        <w:rPr>
          <w:rFonts w:hint="cs"/>
          <w:rtl/>
        </w:rPr>
        <w:t xml:space="preserve"> </w:t>
      </w:r>
      <w:r w:rsidRPr="00333B45">
        <w:rPr>
          <w:rFonts w:hint="cs"/>
          <w:rtl/>
        </w:rPr>
        <w:t xml:space="preserve">החוק מבוססות על המלצות הצוות </w:t>
      </w:r>
      <w:proofErr w:type="spellStart"/>
      <w:r w:rsidRPr="00333B45">
        <w:rPr>
          <w:rFonts w:hint="cs"/>
          <w:rtl/>
        </w:rPr>
        <w:t>הבינמשרדי</w:t>
      </w:r>
      <w:proofErr w:type="spellEnd"/>
      <w:r w:rsidRPr="00333B45">
        <w:rPr>
          <w:rFonts w:hint="cs"/>
          <w:rtl/>
        </w:rPr>
        <w:t xml:space="preserve"> לבחינת סמכות הדיון בעבירות תעבורה מסוג "ברירת משפט", </w:t>
      </w:r>
      <w:r w:rsidRPr="00333B45">
        <w:rPr>
          <w:rtl/>
        </w:rPr>
        <w:t xml:space="preserve">בראשות </w:t>
      </w:r>
      <w:r w:rsidRPr="00333B45">
        <w:rPr>
          <w:rFonts w:hint="cs"/>
          <w:rtl/>
        </w:rPr>
        <w:t xml:space="preserve">שני נשיאי בתי משפט השלום </w:t>
      </w:r>
      <w:r w:rsidRPr="00333B45">
        <w:rPr>
          <w:rtl/>
        </w:rPr>
        <w:t xml:space="preserve">ובהשתתפות </w:t>
      </w:r>
      <w:r w:rsidRPr="00333B45">
        <w:rPr>
          <w:rFonts w:hint="cs"/>
          <w:rtl/>
        </w:rPr>
        <w:t>נציגים ממשרד המשפטים, משרד התחבורה, משרד האוצר, המשרד לביטחון הפנים, משטרת ישראל והנהלת בתי המשפט</w:t>
      </w:r>
      <w:r w:rsidR="00CE6047">
        <w:rPr>
          <w:rFonts w:hint="cs"/>
          <w:rtl/>
        </w:rPr>
        <w:t xml:space="preserve"> (להלן: </w:t>
      </w:r>
      <w:r w:rsidR="00CE6047">
        <w:rPr>
          <w:rFonts w:hint="cs"/>
          <w:b/>
          <w:bCs/>
          <w:rtl/>
        </w:rPr>
        <w:t>"הדו"ח"</w:t>
      </w:r>
      <w:r w:rsidR="00CE6047">
        <w:rPr>
          <w:rFonts w:hint="cs"/>
          <w:rtl/>
        </w:rPr>
        <w:t>)</w:t>
      </w:r>
      <w:r w:rsidRPr="00333B45">
        <w:rPr>
          <w:rFonts w:hint="cs"/>
          <w:rtl/>
        </w:rPr>
        <w:t>.</w:t>
      </w:r>
    </w:p>
    <w:p w:rsidR="005A18B1" w:rsidRPr="00333B45" w:rsidRDefault="005A18B1" w:rsidP="00333B45">
      <w:pPr>
        <w:pStyle w:val="Hesber"/>
        <w:rPr>
          <w:rtl/>
        </w:rPr>
      </w:pPr>
      <w:r w:rsidRPr="00333B45">
        <w:rPr>
          <w:rFonts w:hint="cs"/>
          <w:rtl/>
        </w:rPr>
        <w:t xml:space="preserve">נקודת המוצא של </w:t>
      </w:r>
      <w:r w:rsidR="004F0F68">
        <w:rPr>
          <w:rFonts w:hint="cs"/>
          <w:rtl/>
        </w:rPr>
        <w:t>הצעת</w:t>
      </w:r>
      <w:r w:rsidRPr="00333B45">
        <w:rPr>
          <w:rFonts w:hint="cs"/>
          <w:rtl/>
        </w:rPr>
        <w:t xml:space="preserve"> החוק נשענת על שני אדנים מרכזיים, עליהם עמד הדו"ח:</w:t>
      </w:r>
    </w:p>
    <w:p w:rsidR="005A18B1" w:rsidRPr="00333B45" w:rsidRDefault="005A18B1" w:rsidP="00C8372E">
      <w:pPr>
        <w:pStyle w:val="Hesber"/>
      </w:pPr>
      <w:r w:rsidRPr="00333B45">
        <w:rPr>
          <w:rFonts w:hint="cs"/>
          <w:b/>
          <w:bCs/>
          <w:rtl/>
        </w:rPr>
        <w:t>ראשית</w:t>
      </w:r>
      <w:r w:rsidRPr="00333B45">
        <w:rPr>
          <w:rFonts w:hint="cs"/>
          <w:rtl/>
        </w:rPr>
        <w:t xml:space="preserve">, </w:t>
      </w:r>
      <w:r w:rsidRPr="00333B45">
        <w:rPr>
          <w:rtl/>
        </w:rPr>
        <w:t>עבירות "ברירת משפט" מנויות</w:t>
      </w:r>
      <w:r w:rsidRPr="00333B45">
        <w:rPr>
          <w:rFonts w:hint="cs"/>
          <w:rtl/>
        </w:rPr>
        <w:t xml:space="preserve"> כיום</w:t>
      </w:r>
      <w:r w:rsidRPr="00333B45">
        <w:rPr>
          <w:rtl/>
        </w:rPr>
        <w:t xml:space="preserve"> בתוספת </w:t>
      </w:r>
      <w:r w:rsidRPr="00333B45">
        <w:rPr>
          <w:rFonts w:hint="cs"/>
          <w:rtl/>
        </w:rPr>
        <w:t>לצו התעבורה (עבירות קנס), התשס"ב-2002</w:t>
      </w:r>
      <w:r w:rsidRPr="00333B45">
        <w:rPr>
          <w:vertAlign w:val="superscript"/>
          <w:rtl/>
        </w:rPr>
        <w:footnoteReference w:id="24"/>
      </w:r>
      <w:r w:rsidR="00B2404F">
        <w:rPr>
          <w:rFonts w:hint="cs"/>
          <w:rtl/>
        </w:rPr>
        <w:t xml:space="preserve"> (להלן: </w:t>
      </w:r>
      <w:r w:rsidR="00B2404F">
        <w:rPr>
          <w:rFonts w:hint="cs"/>
          <w:b/>
          <w:bCs/>
          <w:rtl/>
        </w:rPr>
        <w:t>"צו התעבורה"</w:t>
      </w:r>
      <w:r w:rsidR="00B2404F">
        <w:rPr>
          <w:rFonts w:hint="cs"/>
          <w:rtl/>
        </w:rPr>
        <w:t>)</w:t>
      </w:r>
      <w:r w:rsidRPr="00333B45">
        <w:rPr>
          <w:rFonts w:hint="cs"/>
          <w:rtl/>
        </w:rPr>
        <w:t xml:space="preserve"> </w:t>
      </w:r>
      <w:r w:rsidRPr="00333B45">
        <w:rPr>
          <w:rtl/>
        </w:rPr>
        <w:t>ובו נקבע גם גובה הקנס החל עליהן</w:t>
      </w:r>
      <w:r w:rsidRPr="00333B45">
        <w:rPr>
          <w:rFonts w:hint="cs"/>
          <w:rtl/>
        </w:rPr>
        <w:t>.</w:t>
      </w:r>
      <w:r w:rsidRPr="00333B45">
        <w:rPr>
          <w:rtl/>
        </w:rPr>
        <w:t xml:space="preserve"> הן מתאפיינות בכך שמקבל הדו</w:t>
      </w:r>
      <w:r w:rsidRPr="00333B45">
        <w:rPr>
          <w:rFonts w:hint="cs"/>
          <w:rtl/>
        </w:rPr>
        <w:t>"</w:t>
      </w:r>
      <w:r w:rsidRPr="00333B45">
        <w:rPr>
          <w:rtl/>
        </w:rPr>
        <w:t xml:space="preserve">ח שמואשם בעבירה כזו יכול לבחור אם לשלם את הקנס הקבוע בו, או לבקש להישפט בפני בית המשפט לתעבורה בהליך פלילי. דוגמאות לעבירות כאלה הן נסיעה במהירות גבוהה מהמותר בנסיבות מסוימות, שימוש במכשיר סלולרי בזמן נהיגה, אי-חגירת חגורת בטיחות ונסיעה בנתיב תחבורה ציבורית. עבירות מסוג "ברירת משפט" נחשבות </w:t>
      </w:r>
      <w:r w:rsidRPr="00333B45">
        <w:rPr>
          <w:rFonts w:hint="cs"/>
          <w:rtl/>
        </w:rPr>
        <w:t xml:space="preserve">גם כיום </w:t>
      </w:r>
      <w:r w:rsidRPr="00333B45">
        <w:rPr>
          <w:rtl/>
        </w:rPr>
        <w:t xml:space="preserve">לעבירות שניתן להסתפק </w:t>
      </w:r>
      <w:r w:rsidR="00C8372E" w:rsidRPr="00333B45">
        <w:rPr>
          <w:rtl/>
        </w:rPr>
        <w:t xml:space="preserve">בגינן </w:t>
      </w:r>
      <w:r w:rsidRPr="00333B45">
        <w:rPr>
          <w:rtl/>
        </w:rPr>
        <w:t>בקנס, והן אינן מחייבות התייצבות בפני שופט וקיום הליך פלילי מלא בבית משפט על כל הכרוך בכך. זאת, בהתחשב בשיקולי עומס במערכת המשפט</w:t>
      </w:r>
      <w:r w:rsidRPr="00333B45">
        <w:rPr>
          <w:rFonts w:hint="cs"/>
          <w:rtl/>
        </w:rPr>
        <w:t>,</w:t>
      </w:r>
      <w:r w:rsidRPr="00333B45">
        <w:rPr>
          <w:rtl/>
        </w:rPr>
        <w:t xml:space="preserve"> אשר משליכים על יכולתה לתפקד באופן תקין</w:t>
      </w:r>
      <w:r w:rsidRPr="00333B45">
        <w:rPr>
          <w:rFonts w:hint="cs"/>
          <w:rtl/>
        </w:rPr>
        <w:t>;</w:t>
      </w:r>
      <w:r w:rsidRPr="00333B45">
        <w:rPr>
          <w:rtl/>
        </w:rPr>
        <w:t xml:space="preserve"> מידת ההרתעה של מערכת האכיפה</w:t>
      </w:r>
      <w:r w:rsidRPr="00333B45">
        <w:rPr>
          <w:rFonts w:hint="cs"/>
          <w:rtl/>
        </w:rPr>
        <w:t>;</w:t>
      </w:r>
      <w:r w:rsidRPr="00333B45">
        <w:rPr>
          <w:rtl/>
        </w:rPr>
        <w:t xml:space="preserve"> </w:t>
      </w:r>
      <w:r w:rsidRPr="00333B45">
        <w:rPr>
          <w:rFonts w:hint="cs"/>
          <w:rtl/>
        </w:rPr>
        <w:t>לצד</w:t>
      </w:r>
      <w:r w:rsidRPr="00333B45">
        <w:rPr>
          <w:rtl/>
        </w:rPr>
        <w:t xml:space="preserve"> היותן עבירות רגולטוריות גרידא כגון א</w:t>
      </w:r>
      <w:r w:rsidRPr="00C61F7F">
        <w:rPr>
          <w:rtl/>
        </w:rPr>
        <w:t>י</w:t>
      </w:r>
      <w:r w:rsidRPr="00C61F7F">
        <w:rPr>
          <w:rFonts w:hint="cs"/>
          <w:rtl/>
        </w:rPr>
        <w:t>-</w:t>
      </w:r>
      <w:r w:rsidRPr="00C61F7F">
        <w:rPr>
          <w:rtl/>
        </w:rPr>
        <w:t xml:space="preserve">החזקת מסמכים או איחור בחידוש רישיונות, שאינן מגלמות בהכרח סכנה ישירה מאופן נהיגתו של בעל הרכב. </w:t>
      </w:r>
      <w:r w:rsidRPr="005A18B1">
        <w:rPr>
          <w:rtl/>
        </w:rPr>
        <w:t xml:space="preserve">הגדרת עבירות אלה כ"הפרות תעבורה", שיטופלו במישור </w:t>
      </w:r>
      <w:proofErr w:type="spellStart"/>
      <w:r w:rsidRPr="005A18B1">
        <w:rPr>
          <w:rtl/>
        </w:rPr>
        <w:t>המינהלי</w:t>
      </w:r>
      <w:proofErr w:type="spellEnd"/>
      <w:r w:rsidRPr="005A18B1">
        <w:rPr>
          <w:rtl/>
        </w:rPr>
        <w:t xml:space="preserve">, תהלום את מידת חומרתן, ולא תסטה מהעיקרון שלפיו התנהגויות חמורות ראוי שייאסרו בעבירה פלילית. </w:t>
      </w:r>
      <w:r w:rsidRPr="005A18B1">
        <w:rPr>
          <w:rFonts w:hint="eastAsia"/>
          <w:rtl/>
        </w:rPr>
        <w:t>יצוין</w:t>
      </w:r>
      <w:r w:rsidRPr="005A18B1">
        <w:rPr>
          <w:rtl/>
        </w:rPr>
        <w:t xml:space="preserve">, </w:t>
      </w:r>
      <w:r w:rsidRPr="005A18B1">
        <w:rPr>
          <w:rFonts w:hint="eastAsia"/>
          <w:rtl/>
        </w:rPr>
        <w:t>כי</w:t>
      </w:r>
      <w:r w:rsidRPr="005A18B1">
        <w:rPr>
          <w:rtl/>
        </w:rPr>
        <w:t xml:space="preserve"> </w:t>
      </w:r>
      <w:r w:rsidRPr="005A18B1">
        <w:rPr>
          <w:rFonts w:hint="eastAsia"/>
          <w:rtl/>
        </w:rPr>
        <w:t>אכן</w:t>
      </w:r>
      <w:r w:rsidRPr="005A18B1">
        <w:rPr>
          <w:rtl/>
        </w:rPr>
        <w:t xml:space="preserve"> </w:t>
      </w:r>
      <w:r w:rsidRPr="005A18B1">
        <w:rPr>
          <w:rFonts w:hint="eastAsia"/>
          <w:rtl/>
        </w:rPr>
        <w:t>גם</w:t>
      </w:r>
      <w:r w:rsidRPr="005A18B1">
        <w:rPr>
          <w:rtl/>
        </w:rPr>
        <w:t xml:space="preserve"> במדינות מערביות </w:t>
      </w:r>
      <w:r w:rsidRPr="005A18B1">
        <w:rPr>
          <w:rFonts w:hint="eastAsia"/>
          <w:rtl/>
        </w:rPr>
        <w:t>נוספות</w:t>
      </w:r>
      <w:r w:rsidRPr="005A18B1">
        <w:rPr>
          <w:rtl/>
        </w:rPr>
        <w:t xml:space="preserve"> התקבלה הכרעה עקרונית שלפיה, בשל אופיין, עבירות תעבורה מסוימות ראוי שיטופלו במישור </w:t>
      </w:r>
      <w:proofErr w:type="spellStart"/>
      <w:r w:rsidRPr="005A18B1">
        <w:rPr>
          <w:rtl/>
        </w:rPr>
        <w:t>המינהלי</w:t>
      </w:r>
      <w:proofErr w:type="spellEnd"/>
      <w:r w:rsidRPr="005A18B1">
        <w:rPr>
          <w:rtl/>
        </w:rPr>
        <w:t xml:space="preserve"> ולא במישור הפלילי. </w:t>
      </w:r>
    </w:p>
    <w:p w:rsidR="005A18B1" w:rsidRPr="00333B45" w:rsidRDefault="005A18B1" w:rsidP="00333B45">
      <w:pPr>
        <w:pStyle w:val="Hesber"/>
        <w:rPr>
          <w:rtl/>
        </w:rPr>
      </w:pPr>
      <w:r w:rsidRPr="00333B45">
        <w:rPr>
          <w:rFonts w:hint="cs"/>
          <w:b/>
          <w:bCs/>
          <w:rtl/>
        </w:rPr>
        <w:t>שנית</w:t>
      </w:r>
      <w:r w:rsidRPr="00333B45">
        <w:rPr>
          <w:rFonts w:hint="cs"/>
          <w:rtl/>
        </w:rPr>
        <w:t xml:space="preserve">, </w:t>
      </w:r>
      <w:r w:rsidRPr="00333B45">
        <w:rPr>
          <w:rtl/>
        </w:rPr>
        <w:t xml:space="preserve">רכיב חשוב במניעת תאונות דרכים הוא אכיפה </w:t>
      </w:r>
      <w:r w:rsidRPr="00333B45">
        <w:rPr>
          <w:rFonts w:hint="cs"/>
          <w:rtl/>
        </w:rPr>
        <w:t>של</w:t>
      </w:r>
      <w:r w:rsidRPr="00333B45">
        <w:rPr>
          <w:rtl/>
        </w:rPr>
        <w:t xml:space="preserve"> עבירות תעבורה</w:t>
      </w:r>
      <w:r w:rsidRPr="00333B45">
        <w:rPr>
          <w:rFonts w:hint="cs"/>
          <w:rtl/>
        </w:rPr>
        <w:t>,</w:t>
      </w:r>
      <w:r w:rsidRPr="00333B45">
        <w:rPr>
          <w:rtl/>
        </w:rPr>
        <w:t xml:space="preserve"> המתבצעת בעיקר על</w:t>
      </w:r>
      <w:r w:rsidRPr="00333B45">
        <w:rPr>
          <w:rFonts w:hint="cs"/>
          <w:rtl/>
        </w:rPr>
        <w:t>-</w:t>
      </w:r>
      <w:r w:rsidRPr="00333B45">
        <w:rPr>
          <w:rtl/>
        </w:rPr>
        <w:t>ידי משטרת ישראל, וכפועל יוצא מכך, גם העמדה לדין של אלו המפרים את דיני התעבורה. עבירות תעבורה מוגדרות היום בישראל כעבירות פליליות, והן נידונות בבתי המשפט לתעבורה, שהם חלק מבתי משפט השלום. בשנת 2018, ניתנו בישראל כ-1.2 מיליון דוחות תעבורה</w:t>
      </w:r>
      <w:r w:rsidRPr="00333B45">
        <w:rPr>
          <w:rFonts w:hint="cs"/>
          <w:rtl/>
        </w:rPr>
        <w:t xml:space="preserve"> (מתוכם למעלה ממיליון דוחות ברירת משפט)</w:t>
      </w:r>
      <w:r w:rsidRPr="00333B45">
        <w:rPr>
          <w:rtl/>
        </w:rPr>
        <w:t xml:space="preserve"> ונפתחו כ-140,000 הליכים פליליים בבתי המשפט לתעבורה.</w:t>
      </w:r>
      <w:r w:rsidRPr="00333B45">
        <w:rPr>
          <w:vertAlign w:val="superscript"/>
          <w:rtl/>
        </w:rPr>
        <w:footnoteReference w:id="25"/>
      </w:r>
      <w:r w:rsidRPr="00333B45">
        <w:rPr>
          <w:rtl/>
        </w:rPr>
        <w:t xml:space="preserve"> </w:t>
      </w:r>
      <w:r w:rsidRPr="00333B45">
        <w:rPr>
          <w:rFonts w:hint="cs"/>
          <w:rtl/>
        </w:rPr>
        <w:t xml:space="preserve">הקמת בית דין לתעבורה והעברת הטיפול בעבירות תעבורה מסוג "ברירת משפט" למישור </w:t>
      </w:r>
      <w:proofErr w:type="spellStart"/>
      <w:r w:rsidRPr="00333B45">
        <w:rPr>
          <w:rFonts w:hint="cs"/>
          <w:rtl/>
        </w:rPr>
        <w:t>המינהלי</w:t>
      </w:r>
      <w:proofErr w:type="spellEnd"/>
      <w:r w:rsidRPr="00333B45">
        <w:rPr>
          <w:rFonts w:hint="cs"/>
          <w:rtl/>
        </w:rPr>
        <w:t xml:space="preserve"> נועדה להתמודד עם </w:t>
      </w:r>
      <w:r w:rsidRPr="00333B45">
        <w:rPr>
          <w:rtl/>
        </w:rPr>
        <w:t>העומס הגדול שקיים כיום במערכת אכיפת דיני התעבורה בכללותה, ובאופן ספציפי בבתי המשפט לתעבורה, שהם בתי משפט פליליים. עומס זה צפוי להתגבר בעתיד, עם ההתפתחויות הטכנולוגיות והרחבת השימוש באמצעי אכיפה אוטומטיים</w:t>
      </w:r>
      <w:r w:rsidRPr="00333B45">
        <w:rPr>
          <w:rFonts w:hint="cs"/>
          <w:rtl/>
        </w:rPr>
        <w:t xml:space="preserve">, שנועדו להגדיל את הסיכוי להיתפס ובכך להכווין את התנהגותם של משתמשי הדרך. </w:t>
      </w:r>
      <w:r w:rsidRPr="00333B45">
        <w:rPr>
          <w:rtl/>
        </w:rPr>
        <w:t>לפיכך</w:t>
      </w:r>
      <w:r w:rsidRPr="00333B45">
        <w:rPr>
          <w:rFonts w:hint="cs"/>
          <w:rtl/>
        </w:rPr>
        <w:t xml:space="preserve">, הקמת בית דין לתעבורה נועדה </w:t>
      </w:r>
      <w:r w:rsidRPr="00333B45">
        <w:rPr>
          <w:rtl/>
        </w:rPr>
        <w:t>להקל על העומס על</w:t>
      </w:r>
      <w:r w:rsidRPr="00333B45">
        <w:rPr>
          <w:rFonts w:hint="cs"/>
          <w:rtl/>
        </w:rPr>
        <w:t>-</w:t>
      </w:r>
      <w:r w:rsidRPr="00333B45">
        <w:rPr>
          <w:rtl/>
        </w:rPr>
        <w:t>ידי הסטת חלק מן התיקים לבירור במסלול יעיל ואפקטיבי יותר</w:t>
      </w:r>
      <w:r w:rsidRPr="00333B45">
        <w:rPr>
          <w:rFonts w:hint="cs"/>
          <w:rtl/>
        </w:rPr>
        <w:t xml:space="preserve"> במסלול </w:t>
      </w:r>
      <w:proofErr w:type="spellStart"/>
      <w:r w:rsidRPr="00333B45">
        <w:rPr>
          <w:rFonts w:hint="cs"/>
          <w:rtl/>
        </w:rPr>
        <w:t>המינהלי</w:t>
      </w:r>
      <w:proofErr w:type="spellEnd"/>
      <w:r w:rsidRPr="00333B45">
        <w:rPr>
          <w:rtl/>
        </w:rPr>
        <w:t>.</w:t>
      </w:r>
    </w:p>
    <w:p w:rsidR="005A18B1" w:rsidRPr="00333B45" w:rsidRDefault="005A18B1" w:rsidP="00333B45">
      <w:pPr>
        <w:pStyle w:val="Hesber"/>
        <w:rPr>
          <w:rtl/>
        </w:rPr>
      </w:pPr>
      <w:r w:rsidRPr="00333B45">
        <w:rPr>
          <w:rFonts w:hint="cs"/>
          <w:rtl/>
        </w:rPr>
        <w:t xml:space="preserve">בהתאם ונוכח האמור לעיל, הצוות </w:t>
      </w:r>
      <w:proofErr w:type="spellStart"/>
      <w:r w:rsidRPr="00333B45">
        <w:rPr>
          <w:rFonts w:hint="cs"/>
          <w:rtl/>
        </w:rPr>
        <w:t>הבינמשרדי</w:t>
      </w:r>
      <w:proofErr w:type="spellEnd"/>
      <w:r w:rsidRPr="00333B45">
        <w:rPr>
          <w:rFonts w:hint="cs"/>
          <w:rtl/>
        </w:rPr>
        <w:t xml:space="preserve"> הגיע לכלל מסקנה, כי </w:t>
      </w:r>
      <w:r w:rsidRPr="00333B45">
        <w:rPr>
          <w:rtl/>
        </w:rPr>
        <w:t xml:space="preserve">המשפט הפלילי אינו נותן מענה הולם לאכיפת עבירות מסוג "ברירת משפט", שלא מחייבות ממילא התייצבות בפני שופט וקיום הליך פלילי, וכי אכיפה </w:t>
      </w:r>
      <w:proofErr w:type="spellStart"/>
      <w:r w:rsidRPr="00333B45">
        <w:rPr>
          <w:rtl/>
        </w:rPr>
        <w:t>מינהלית</w:t>
      </w:r>
      <w:proofErr w:type="spellEnd"/>
      <w:r w:rsidRPr="00333B45">
        <w:rPr>
          <w:rtl/>
        </w:rPr>
        <w:t xml:space="preserve"> עשויה </w:t>
      </w:r>
      <w:proofErr w:type="spellStart"/>
      <w:r w:rsidRPr="00333B45">
        <w:rPr>
          <w:rtl/>
        </w:rPr>
        <w:t>ליתן</w:t>
      </w:r>
      <w:proofErr w:type="spellEnd"/>
      <w:r w:rsidRPr="00333B45">
        <w:rPr>
          <w:rtl/>
        </w:rPr>
        <w:t xml:space="preserve"> מענה טוב יותר שיאפשר הן הגברה של אכיפת דיני התעבורה והן מתן שירות טוב יותר לציבור.</w:t>
      </w:r>
    </w:p>
    <w:p w:rsidR="00333B45" w:rsidRDefault="005A18B1" w:rsidP="000A10D4">
      <w:pPr>
        <w:pStyle w:val="Hesber"/>
        <w:rPr>
          <w:rtl/>
        </w:rPr>
      </w:pPr>
      <w:r w:rsidRPr="00333B45">
        <w:rPr>
          <w:rFonts w:hint="cs"/>
          <w:rtl/>
        </w:rPr>
        <w:t xml:space="preserve">המנגנון שעוצב במסגרת הצעת החוק נועד </w:t>
      </w:r>
      <w:proofErr w:type="spellStart"/>
      <w:r w:rsidRPr="00333B45">
        <w:rPr>
          <w:rFonts w:hint="cs"/>
          <w:rtl/>
        </w:rPr>
        <w:t>ליתן</w:t>
      </w:r>
      <w:proofErr w:type="spellEnd"/>
      <w:r w:rsidRPr="00333B45">
        <w:rPr>
          <w:rFonts w:hint="cs"/>
          <w:rtl/>
        </w:rPr>
        <w:t xml:space="preserve"> ביטוי </w:t>
      </w:r>
      <w:r w:rsidR="00485CC2">
        <w:rPr>
          <w:rFonts w:hint="cs"/>
          <w:rtl/>
        </w:rPr>
        <w:t>לעקרונות לעיל</w:t>
      </w:r>
      <w:r w:rsidR="004F0F68" w:rsidRPr="00333B45">
        <w:rPr>
          <w:rFonts w:hint="cs"/>
          <w:rtl/>
        </w:rPr>
        <w:t>, ולהתוות</w:t>
      </w:r>
      <w:r w:rsidR="00CB5BC3" w:rsidRPr="00333B45">
        <w:rPr>
          <w:rFonts w:hint="cs"/>
          <w:rtl/>
        </w:rPr>
        <w:t xml:space="preserve"> </w:t>
      </w:r>
      <w:r w:rsidR="004F0F68" w:rsidRPr="00333B45">
        <w:rPr>
          <w:rFonts w:hint="cs"/>
          <w:rtl/>
        </w:rPr>
        <w:t>את ה</w:t>
      </w:r>
      <w:r w:rsidR="00CB5BC3" w:rsidRPr="00333B45">
        <w:rPr>
          <w:rFonts w:hint="cs"/>
          <w:rtl/>
        </w:rPr>
        <w:t xml:space="preserve">שינוי </w:t>
      </w:r>
      <w:r w:rsidR="004F0F68" w:rsidRPr="00333B45">
        <w:rPr>
          <w:rFonts w:hint="cs"/>
          <w:rtl/>
        </w:rPr>
        <w:t>ה</w:t>
      </w:r>
      <w:r w:rsidR="00CB5BC3" w:rsidRPr="00333B45">
        <w:rPr>
          <w:rFonts w:hint="cs"/>
          <w:rtl/>
        </w:rPr>
        <w:t xml:space="preserve">תפיסתי בכל הנוגע למעמד הראוי של מעשים אלו (שמוצע </w:t>
      </w:r>
      <w:r w:rsidRPr="00333B45">
        <w:rPr>
          <w:rFonts w:hint="cs"/>
          <w:rtl/>
        </w:rPr>
        <w:t xml:space="preserve">להגדירם כהפרות תעבורה </w:t>
      </w:r>
      <w:proofErr w:type="spellStart"/>
      <w:r w:rsidRPr="00333B45">
        <w:rPr>
          <w:rFonts w:hint="cs"/>
          <w:rtl/>
        </w:rPr>
        <w:t>מינהליות</w:t>
      </w:r>
      <w:proofErr w:type="spellEnd"/>
      <w:r w:rsidRPr="00333B45">
        <w:rPr>
          <w:rFonts w:hint="cs"/>
          <w:rtl/>
        </w:rPr>
        <w:t>)</w:t>
      </w:r>
      <w:r w:rsidR="00333B45" w:rsidRPr="00333B45">
        <w:rPr>
          <w:rFonts w:hint="cs"/>
          <w:rtl/>
        </w:rPr>
        <w:t xml:space="preserve">. הפרות תעבורה </w:t>
      </w:r>
      <w:proofErr w:type="spellStart"/>
      <w:r w:rsidR="00333B45" w:rsidRPr="00333B45">
        <w:rPr>
          <w:rFonts w:hint="cs"/>
          <w:rtl/>
        </w:rPr>
        <w:t>מינהליות</w:t>
      </w:r>
      <w:proofErr w:type="spellEnd"/>
      <w:r w:rsidR="00333B45" w:rsidRPr="00333B45">
        <w:rPr>
          <w:rFonts w:hint="cs"/>
          <w:rtl/>
        </w:rPr>
        <w:t xml:space="preserve"> </w:t>
      </w:r>
      <w:r w:rsidR="00333B45" w:rsidRPr="00C61F7F">
        <w:rPr>
          <w:rFonts w:hint="cs"/>
          <w:rtl/>
        </w:rPr>
        <w:t xml:space="preserve">הינן אמצעי אכיפה </w:t>
      </w:r>
      <w:proofErr w:type="spellStart"/>
      <w:r w:rsidR="00333B45" w:rsidRPr="00C61F7F">
        <w:rPr>
          <w:rFonts w:hint="cs"/>
          <w:rtl/>
        </w:rPr>
        <w:t>מינהלי</w:t>
      </w:r>
      <w:proofErr w:type="spellEnd"/>
      <w:r w:rsidR="00333B45" w:rsidRPr="00C61F7F">
        <w:rPr>
          <w:rFonts w:hint="cs"/>
          <w:rtl/>
        </w:rPr>
        <w:t xml:space="preserve"> שמשמש ככלי חלופי למשפט הפלילי</w:t>
      </w:r>
      <w:r w:rsidR="00333B45">
        <w:rPr>
          <w:rFonts w:hint="cs"/>
          <w:rtl/>
        </w:rPr>
        <w:t xml:space="preserve"> (להלן: "</w:t>
      </w:r>
      <w:r w:rsidR="00333B45" w:rsidRPr="00C61F7F">
        <w:rPr>
          <w:rFonts w:hint="cs"/>
          <w:b/>
          <w:bCs/>
          <w:rtl/>
        </w:rPr>
        <w:t>אכיפה חלופית</w:t>
      </w:r>
      <w:r w:rsidR="00333B45">
        <w:rPr>
          <w:rFonts w:hint="cs"/>
          <w:rtl/>
        </w:rPr>
        <w:t>")</w:t>
      </w:r>
      <w:r w:rsidR="00333B45" w:rsidRPr="00C61F7F">
        <w:rPr>
          <w:rFonts w:hint="cs"/>
          <w:rtl/>
        </w:rPr>
        <w:t>, וזאת נוכח ה</w:t>
      </w:r>
      <w:r w:rsidR="00333B45" w:rsidRPr="00333B45">
        <w:rPr>
          <w:rFonts w:hint="eastAsia"/>
          <w:rtl/>
        </w:rPr>
        <w:t>הבנה</w:t>
      </w:r>
      <w:r w:rsidR="00333B45" w:rsidRPr="00333B45">
        <w:rPr>
          <w:rtl/>
        </w:rPr>
        <w:t xml:space="preserve">, כי הטלת סנקציות בידי רשות </w:t>
      </w:r>
      <w:proofErr w:type="spellStart"/>
      <w:r w:rsidR="00333B45" w:rsidRPr="00333B45">
        <w:rPr>
          <w:rFonts w:hint="eastAsia"/>
          <w:rtl/>
        </w:rPr>
        <w:t>מינהלית</w:t>
      </w:r>
      <w:proofErr w:type="spellEnd"/>
      <w:r w:rsidR="00333B45" w:rsidRPr="00333B45">
        <w:rPr>
          <w:rtl/>
        </w:rPr>
        <w:t xml:space="preserve"> ("גורם אכיפה") מתאים יותר, </w:t>
      </w:r>
      <w:r w:rsidR="00333B45" w:rsidRPr="00333B45">
        <w:rPr>
          <w:rFonts w:hint="eastAsia"/>
          <w:rtl/>
        </w:rPr>
        <w:t>במרבית</w:t>
      </w:r>
      <w:r w:rsidR="00333B45" w:rsidRPr="00333B45">
        <w:rPr>
          <w:rtl/>
        </w:rPr>
        <w:t xml:space="preserve"> המקרים, לטיפול בהפרות תעבורה מסוג זה. </w:t>
      </w:r>
      <w:r w:rsidR="00333B45" w:rsidRPr="00FE1884">
        <w:rPr>
          <w:rFonts w:hint="eastAsia"/>
          <w:rtl/>
        </w:rPr>
        <w:t>י</w:t>
      </w:r>
      <w:r w:rsidR="00333B45" w:rsidRPr="00333B45">
        <w:rPr>
          <w:rtl/>
        </w:rPr>
        <w:t xml:space="preserve">תרונה של האכיפה החלופית, לעומת האכיפה הפלילית, טמון ביעילות הפעלתה, המאפשרת תגובה מהירה להפרה </w:t>
      </w:r>
      <w:proofErr w:type="spellStart"/>
      <w:r w:rsidR="00BD510E">
        <w:rPr>
          <w:rFonts w:hint="cs"/>
          <w:rtl/>
        </w:rPr>
        <w:t>המינהלית</w:t>
      </w:r>
      <w:proofErr w:type="spellEnd"/>
      <w:r w:rsidR="00BD510E">
        <w:rPr>
          <w:rFonts w:hint="cs"/>
          <w:rtl/>
        </w:rPr>
        <w:t xml:space="preserve"> </w:t>
      </w:r>
      <w:r w:rsidR="00333B45" w:rsidRPr="00333B45">
        <w:rPr>
          <w:rtl/>
        </w:rPr>
        <w:t xml:space="preserve">ומסייעת בכך </w:t>
      </w:r>
      <w:r w:rsidR="00333B45" w:rsidRPr="00FE1884">
        <w:rPr>
          <w:rFonts w:hint="eastAsia"/>
          <w:rtl/>
        </w:rPr>
        <w:t>ליצור</w:t>
      </w:r>
      <w:r w:rsidR="00333B45" w:rsidRPr="00FE1884">
        <w:rPr>
          <w:rtl/>
        </w:rPr>
        <w:t xml:space="preserve"> </w:t>
      </w:r>
      <w:r w:rsidR="00333B45" w:rsidRPr="00FE1884">
        <w:rPr>
          <w:rFonts w:hint="eastAsia"/>
          <w:rtl/>
        </w:rPr>
        <w:t>הרתעה</w:t>
      </w:r>
      <w:r w:rsidR="00333B45" w:rsidRPr="00FE1884">
        <w:rPr>
          <w:rtl/>
        </w:rPr>
        <w:t xml:space="preserve"> </w:t>
      </w:r>
      <w:r w:rsidR="00333B45" w:rsidRPr="00FE1884">
        <w:rPr>
          <w:rFonts w:hint="eastAsia"/>
          <w:rtl/>
        </w:rPr>
        <w:t>ו</w:t>
      </w:r>
      <w:r w:rsidR="00333B45" w:rsidRPr="00333B45">
        <w:rPr>
          <w:rtl/>
        </w:rPr>
        <w:t>להחזיר את המפוקח לציות להוראות</w:t>
      </w:r>
      <w:r w:rsidR="00333B45" w:rsidRPr="00FE1884">
        <w:rPr>
          <w:rtl/>
        </w:rPr>
        <w:t xml:space="preserve"> התעבורה</w:t>
      </w:r>
      <w:r w:rsidR="00333B45" w:rsidRPr="00333B45">
        <w:rPr>
          <w:rtl/>
        </w:rPr>
        <w:t>. לכן</w:t>
      </w:r>
      <w:r w:rsidR="00333B45" w:rsidRPr="00FE1884">
        <w:rPr>
          <w:rtl/>
        </w:rPr>
        <w:t xml:space="preserve">, </w:t>
      </w:r>
      <w:r w:rsidR="00333B45" w:rsidRPr="00333B45">
        <w:rPr>
          <w:rtl/>
        </w:rPr>
        <w:t xml:space="preserve">ההפרות שבשלן מופעלת אכיפה חלופית הן הפרות שקל </w:t>
      </w:r>
      <w:r w:rsidR="00333B45">
        <w:rPr>
          <w:rFonts w:hint="cs"/>
          <w:rtl/>
        </w:rPr>
        <w:t xml:space="preserve">יחסית </w:t>
      </w:r>
      <w:r w:rsidR="00333B45" w:rsidRPr="00333B45">
        <w:rPr>
          <w:rtl/>
        </w:rPr>
        <w:t>ופשוט להיווכח בקיומן</w:t>
      </w:r>
      <w:r w:rsidR="00333B45">
        <w:rPr>
          <w:rFonts w:hint="cs"/>
          <w:rtl/>
        </w:rPr>
        <w:t xml:space="preserve">, אינן </w:t>
      </w:r>
      <w:r w:rsidR="00333B45" w:rsidRPr="00333B45">
        <w:rPr>
          <w:rtl/>
        </w:rPr>
        <w:t xml:space="preserve">מחייבות בירור עובדתי מורכב, ויתר על כן – אינן דורשות בירור של יסוד נפשי שאינו רלוונטי בהקשר של </w:t>
      </w:r>
      <w:r w:rsidR="00485CC2">
        <w:rPr>
          <w:rFonts w:hint="cs"/>
          <w:rtl/>
        </w:rPr>
        <w:t xml:space="preserve">עבירות התעבורה שמוצע להגדירן כהפרות תעבורה </w:t>
      </w:r>
      <w:proofErr w:type="spellStart"/>
      <w:r w:rsidR="00485CC2">
        <w:rPr>
          <w:rFonts w:hint="cs"/>
          <w:rtl/>
        </w:rPr>
        <w:t>מינהליות</w:t>
      </w:r>
      <w:proofErr w:type="spellEnd"/>
      <w:r w:rsidR="00333B45" w:rsidRPr="00333B45">
        <w:rPr>
          <w:rtl/>
        </w:rPr>
        <w:t>.</w:t>
      </w:r>
    </w:p>
    <w:p w:rsidR="00CB5BC3" w:rsidRPr="00C61F7F" w:rsidRDefault="00333B45" w:rsidP="00BD510E">
      <w:pPr>
        <w:pStyle w:val="Hesber"/>
        <w:rPr>
          <w:rtl/>
        </w:rPr>
      </w:pPr>
      <w:r w:rsidRPr="00C61F7F">
        <w:rPr>
          <w:rFonts w:hint="cs"/>
          <w:rtl/>
        </w:rPr>
        <w:t>מנגד, ובניגוד לאמצעי אכיפה חלופית</w:t>
      </w:r>
      <w:r w:rsidR="00485CC2">
        <w:rPr>
          <w:rFonts w:hint="cs"/>
          <w:rtl/>
        </w:rPr>
        <w:t xml:space="preserve"> אחרים כדוגמת עיצומים כספיים</w:t>
      </w:r>
      <w:r w:rsidRPr="00C61F7F">
        <w:rPr>
          <w:rFonts w:hint="cs"/>
          <w:rtl/>
        </w:rPr>
        <w:t>,</w:t>
      </w:r>
      <w:r w:rsidR="00CB5BC3" w:rsidRPr="00C61F7F">
        <w:rPr>
          <w:rFonts w:hint="cs"/>
          <w:rtl/>
        </w:rPr>
        <w:t xml:space="preserve"> אין מדובר בהתנתקות מוחלטת מההליך הפלילי.</w:t>
      </w:r>
      <w:r w:rsidR="00485CC2" w:rsidRPr="00C61F7F">
        <w:rPr>
          <w:rFonts w:hint="cs"/>
          <w:rtl/>
        </w:rPr>
        <w:t xml:space="preserve"> </w:t>
      </w:r>
      <w:r w:rsidR="00CB5BC3" w:rsidRPr="00C61F7F">
        <w:rPr>
          <w:rFonts w:hint="cs"/>
          <w:rtl/>
        </w:rPr>
        <w:t xml:space="preserve">במסגרת הצעת החוק, אין כוונה לבטל את עבירות התעבורה הפליליות הקבועות כיום בגין ההתנהגויות שיוגדרו כהפרות תעבורה, אלא לקבוע הליך אכיפה </w:t>
      </w:r>
      <w:proofErr w:type="spellStart"/>
      <w:r w:rsidR="00CB5BC3" w:rsidRPr="00C61F7F">
        <w:rPr>
          <w:rFonts w:hint="cs"/>
          <w:rtl/>
        </w:rPr>
        <w:t>מינהלי</w:t>
      </w:r>
      <w:proofErr w:type="spellEnd"/>
      <w:r w:rsidR="00CB5BC3" w:rsidRPr="00C61F7F">
        <w:rPr>
          <w:rFonts w:hint="cs"/>
          <w:rtl/>
        </w:rPr>
        <w:t xml:space="preserve"> חלופי </w:t>
      </w:r>
      <w:r w:rsidR="00CB5BC3" w:rsidRPr="00C61F7F">
        <w:rPr>
          <w:rFonts w:hint="cs"/>
          <w:b/>
          <w:bCs/>
          <w:rtl/>
        </w:rPr>
        <w:t>כברירת מחדל</w:t>
      </w:r>
      <w:r w:rsidR="00CB5BC3" w:rsidRPr="00C61F7F">
        <w:rPr>
          <w:rFonts w:hint="cs"/>
          <w:rtl/>
        </w:rPr>
        <w:t xml:space="preserve">. לצד ברירת מחדל זו, מוצעות הוראות שנועדו </w:t>
      </w:r>
      <w:proofErr w:type="spellStart"/>
      <w:r w:rsidR="00CB5BC3" w:rsidRPr="00C61F7F">
        <w:rPr>
          <w:rFonts w:hint="cs"/>
          <w:rtl/>
        </w:rPr>
        <w:t>ליתן</w:t>
      </w:r>
      <w:proofErr w:type="spellEnd"/>
      <w:r w:rsidR="00CB5BC3" w:rsidRPr="00C61F7F">
        <w:rPr>
          <w:rFonts w:hint="cs"/>
          <w:rtl/>
        </w:rPr>
        <w:t xml:space="preserve"> מענה למקרים בהם מתגלה חומרה מיוחדת שמצדיקה ניהול הליך פלילי (ראו</w:t>
      </w:r>
      <w:r w:rsidR="00485CC2">
        <w:rPr>
          <w:rFonts w:hint="cs"/>
          <w:rtl/>
        </w:rPr>
        <w:t>,</w:t>
      </w:r>
      <w:r w:rsidR="00CB5BC3" w:rsidRPr="00C61F7F">
        <w:rPr>
          <w:rFonts w:hint="cs"/>
          <w:rtl/>
        </w:rPr>
        <w:t xml:space="preserve"> סעיפים 2(ג)</w:t>
      </w:r>
      <w:r w:rsidR="00485CC2">
        <w:rPr>
          <w:rFonts w:hint="cs"/>
          <w:rtl/>
        </w:rPr>
        <w:t>-(ה) להצעת החוק</w:t>
      </w:r>
      <w:r w:rsidR="00CB5BC3" w:rsidRPr="00C61F7F">
        <w:rPr>
          <w:rFonts w:hint="cs"/>
          <w:rtl/>
        </w:rPr>
        <w:t xml:space="preserve">). מנגנון זה נועד לתת ביטוי לייחודם של מעשים אלו, שמצד אחד אינם מצויים בליבת ההליך הפלילי; ומצד השני, מבטאים התנהגויות מסוכנות, מסכנות חיים, שיש הצדקה לאסרן. במובן זה, ההתנהגויות בהן עסקינן </w:t>
      </w:r>
      <w:r w:rsidR="00485CC2">
        <w:rPr>
          <w:rFonts w:hint="cs"/>
          <w:rtl/>
        </w:rPr>
        <w:t xml:space="preserve">מצויות בטווח בין המשפט הפלילי למשפט </w:t>
      </w:r>
      <w:proofErr w:type="spellStart"/>
      <w:r w:rsidR="00485CC2">
        <w:rPr>
          <w:rFonts w:hint="cs"/>
          <w:rtl/>
        </w:rPr>
        <w:t>המינהלי</w:t>
      </w:r>
      <w:proofErr w:type="spellEnd"/>
      <w:r w:rsidR="00485CC2">
        <w:rPr>
          <w:rFonts w:hint="cs"/>
          <w:rtl/>
        </w:rPr>
        <w:t xml:space="preserve"> ו</w:t>
      </w:r>
      <w:r w:rsidR="00CB5BC3" w:rsidRPr="00C61F7F">
        <w:rPr>
          <w:rFonts w:hint="cs"/>
          <w:rtl/>
        </w:rPr>
        <w:t>כפופות למשטר של "דואליות נורמטיבית"</w:t>
      </w:r>
      <w:r w:rsidR="00485CC2">
        <w:rPr>
          <w:rFonts w:hint="cs"/>
          <w:rtl/>
        </w:rPr>
        <w:t xml:space="preserve">, אשר </w:t>
      </w:r>
      <w:r w:rsidR="00BD510E">
        <w:rPr>
          <w:rFonts w:hint="cs"/>
          <w:rtl/>
        </w:rPr>
        <w:t>החוק המוצע</w:t>
      </w:r>
      <w:r w:rsidR="00485CC2">
        <w:rPr>
          <w:rFonts w:hint="cs"/>
          <w:rtl/>
        </w:rPr>
        <w:t xml:space="preserve"> נועד לעצב</w:t>
      </w:r>
      <w:r w:rsidR="00CB5BC3" w:rsidRPr="00C61F7F">
        <w:rPr>
          <w:rFonts w:hint="cs"/>
          <w:rtl/>
        </w:rPr>
        <w:t xml:space="preserve">. </w:t>
      </w:r>
    </w:p>
    <w:p w:rsidR="00AB3999" w:rsidRPr="007C781C" w:rsidRDefault="00AB3999" w:rsidP="00AB3999">
      <w:pPr>
        <w:rPr>
          <w:b/>
          <w:bCs/>
          <w:sz w:val="26"/>
          <w:szCs w:val="26"/>
          <w:rtl/>
        </w:rPr>
      </w:pPr>
    </w:p>
    <w:p w:rsidR="00AB3999" w:rsidRPr="00C61F7F" w:rsidRDefault="00AB3999" w:rsidP="00C61F7F">
      <w:pPr>
        <w:pStyle w:val="Hesber1st"/>
        <w:tabs>
          <w:tab w:val="clear" w:pos="680"/>
        </w:tabs>
        <w:rPr>
          <w:b/>
          <w:bCs/>
          <w:rtl/>
        </w:rPr>
      </w:pPr>
      <w:r w:rsidRPr="00C61F7F">
        <w:rPr>
          <w:rFonts w:hint="cs"/>
          <w:b/>
          <w:bCs/>
          <w:rtl/>
        </w:rPr>
        <w:t xml:space="preserve">סעיף 1 </w:t>
      </w:r>
      <w:r w:rsidRPr="00FE1884">
        <w:rPr>
          <w:rtl/>
        </w:rPr>
        <w:t>–</w:t>
      </w:r>
      <w:r w:rsidRPr="00C61F7F">
        <w:rPr>
          <w:rFonts w:hint="cs"/>
          <w:b/>
          <w:bCs/>
          <w:rtl/>
        </w:rPr>
        <w:t xml:space="preserve"> הגדרות </w:t>
      </w:r>
    </w:p>
    <w:p w:rsidR="00AB3999" w:rsidRDefault="00AB3999" w:rsidP="00C61F7F">
      <w:pPr>
        <w:pStyle w:val="Hesber"/>
        <w:rPr>
          <w:rtl/>
        </w:rPr>
      </w:pPr>
      <w:r w:rsidRPr="00DA4130">
        <w:rPr>
          <w:rFonts w:hint="cs"/>
          <w:rtl/>
        </w:rPr>
        <w:t>מוצעות</w:t>
      </w:r>
      <w:r>
        <w:rPr>
          <w:rFonts w:hint="cs"/>
          <w:rtl/>
        </w:rPr>
        <w:t xml:space="preserve"> הגדרות בהן יעשה שימוש בחוק, בין השאר, מוצע להגדיר במסגרת החוק:</w:t>
      </w:r>
    </w:p>
    <w:p w:rsidR="00AB3999" w:rsidRDefault="00AB3999" w:rsidP="00BD510E">
      <w:pPr>
        <w:pStyle w:val="Hesber"/>
        <w:rPr>
          <w:rtl/>
        </w:rPr>
      </w:pPr>
      <w:r w:rsidRPr="008C720D">
        <w:rPr>
          <w:rFonts w:hint="cs"/>
          <w:sz w:val="26"/>
          <w:rtl/>
        </w:rPr>
        <w:t>"</w:t>
      </w:r>
      <w:r w:rsidRPr="008C720D">
        <w:rPr>
          <w:rFonts w:hint="cs"/>
          <w:b/>
          <w:bCs/>
          <w:sz w:val="26"/>
          <w:rtl/>
        </w:rPr>
        <w:t>גורם אכיפה</w:t>
      </w:r>
      <w:r w:rsidRPr="008C720D">
        <w:rPr>
          <w:rFonts w:hint="cs"/>
          <w:sz w:val="26"/>
          <w:rtl/>
        </w:rPr>
        <w:t xml:space="preserve">" </w:t>
      </w:r>
      <w:r w:rsidR="00C50BB6">
        <w:rPr>
          <w:rtl/>
        </w:rPr>
        <w:t>–</w:t>
      </w:r>
      <w:r w:rsidR="00C50BB6">
        <w:rPr>
          <w:rFonts w:hint="cs"/>
          <w:rtl/>
        </w:rPr>
        <w:t xml:space="preserve"> </w:t>
      </w:r>
      <w:r w:rsidRPr="008C720D">
        <w:rPr>
          <w:rFonts w:hint="cs"/>
          <w:rtl/>
        </w:rPr>
        <w:t xml:space="preserve">מוצע, כי </w:t>
      </w:r>
      <w:r w:rsidRPr="00C61F7F">
        <w:rPr>
          <w:rFonts w:hint="cs"/>
          <w:rtl/>
        </w:rPr>
        <w:t>שוטר</w:t>
      </w:r>
      <w:r w:rsidRPr="008C720D">
        <w:rPr>
          <w:rFonts w:hint="cs"/>
          <w:rtl/>
        </w:rPr>
        <w:t xml:space="preserve"> יהווה גורם אכיפה לפי חוק זה</w:t>
      </w:r>
      <w:r>
        <w:rPr>
          <w:rFonts w:hint="cs"/>
          <w:rtl/>
        </w:rPr>
        <w:t xml:space="preserve"> וכן תינתן אפשרות להסמיך גורמים נוספים</w:t>
      </w:r>
      <w:r w:rsidRPr="008C720D">
        <w:rPr>
          <w:rFonts w:hint="cs"/>
          <w:rtl/>
        </w:rPr>
        <w:t xml:space="preserve">. </w:t>
      </w:r>
      <w:r w:rsidR="00485CC2">
        <w:rPr>
          <w:rFonts w:hint="cs"/>
          <w:rtl/>
        </w:rPr>
        <w:t xml:space="preserve">לצד שוטרים, מוצע להסמיך כבר בשלב הראשון </w:t>
      </w:r>
      <w:r w:rsidRPr="008C720D">
        <w:rPr>
          <w:rFonts w:hint="cs"/>
          <w:rtl/>
        </w:rPr>
        <w:t xml:space="preserve">עובדי רשות מקומית </w:t>
      </w:r>
      <w:r>
        <w:rPr>
          <w:rFonts w:hint="cs"/>
          <w:rtl/>
        </w:rPr>
        <w:t>לשם אכיפת הוראות חוק זה</w:t>
      </w:r>
      <w:r w:rsidR="00485CC2">
        <w:rPr>
          <w:rFonts w:hint="cs"/>
          <w:rtl/>
        </w:rPr>
        <w:t>. הסמכת עובדי רשויות מקומיות נדרש</w:t>
      </w:r>
      <w:r w:rsidR="00C50BB6">
        <w:rPr>
          <w:rFonts w:hint="cs"/>
          <w:rtl/>
        </w:rPr>
        <w:t>ת</w:t>
      </w:r>
      <w:r w:rsidR="00485CC2">
        <w:rPr>
          <w:rFonts w:hint="cs"/>
          <w:rtl/>
        </w:rPr>
        <w:t xml:space="preserve"> נוכח העובדה, כי כבר כיום הם מוסמכים</w:t>
      </w:r>
      <w:r>
        <w:rPr>
          <w:rFonts w:hint="cs"/>
          <w:rtl/>
        </w:rPr>
        <w:t xml:space="preserve"> לפי</w:t>
      </w:r>
      <w:r w:rsidRPr="008C720D">
        <w:rPr>
          <w:rFonts w:hint="cs"/>
          <w:rtl/>
        </w:rPr>
        <w:t xml:space="preserve"> החוק לייעול הפיקוח והאכיפה העירוניים ברשויות המקומיות (תעבורה), התשע"ו-2016</w:t>
      </w:r>
      <w:r>
        <w:rPr>
          <w:rFonts w:hint="cs"/>
          <w:rtl/>
        </w:rPr>
        <w:t xml:space="preserve"> </w:t>
      </w:r>
      <w:r w:rsidR="00C50BB6">
        <w:rPr>
          <w:rFonts w:hint="cs"/>
          <w:rtl/>
        </w:rPr>
        <w:t>(להלן: "</w:t>
      </w:r>
      <w:r w:rsidR="00C50BB6" w:rsidRPr="00C61F7F">
        <w:rPr>
          <w:rFonts w:hint="cs"/>
          <w:b/>
          <w:bCs/>
          <w:rtl/>
        </w:rPr>
        <w:t>החוק לייעול הפיקוח</w:t>
      </w:r>
      <w:r w:rsidR="00C50BB6">
        <w:rPr>
          <w:rFonts w:hint="cs"/>
          <w:rtl/>
        </w:rPr>
        <w:t xml:space="preserve">") </w:t>
      </w:r>
      <w:r>
        <w:rPr>
          <w:rFonts w:hint="cs"/>
          <w:rtl/>
        </w:rPr>
        <w:t>ופקודת התעבורה</w:t>
      </w:r>
      <w:r w:rsidR="00C50BB6">
        <w:rPr>
          <w:rFonts w:hint="cs"/>
          <w:rtl/>
        </w:rPr>
        <w:t xml:space="preserve"> [נוסח חדש] (להלן: "</w:t>
      </w:r>
      <w:r w:rsidR="00C50BB6" w:rsidRPr="00C61F7F">
        <w:rPr>
          <w:rFonts w:hint="cs"/>
          <w:b/>
          <w:bCs/>
          <w:rtl/>
        </w:rPr>
        <w:t>פקודת התעבורה</w:t>
      </w:r>
      <w:r w:rsidR="00C50BB6">
        <w:rPr>
          <w:rFonts w:hint="cs"/>
          <w:rtl/>
        </w:rPr>
        <w:t>")</w:t>
      </w:r>
      <w:r w:rsidR="00485CC2">
        <w:rPr>
          <w:rFonts w:hint="cs"/>
          <w:rtl/>
        </w:rPr>
        <w:t xml:space="preserve"> לאכוף עבירות תעבורה מסוג ברירת משפט, אשר מוצע להגדיר</w:t>
      </w:r>
      <w:r w:rsidR="00BD510E">
        <w:rPr>
          <w:rFonts w:hint="cs"/>
          <w:rtl/>
        </w:rPr>
        <w:t>ן</w:t>
      </w:r>
      <w:r w:rsidR="00485CC2">
        <w:rPr>
          <w:rFonts w:hint="cs"/>
          <w:rtl/>
        </w:rPr>
        <w:t xml:space="preserve"> כהפרות תעבורה</w:t>
      </w:r>
      <w:r w:rsidR="00C50BB6">
        <w:rPr>
          <w:rFonts w:hint="cs"/>
          <w:rtl/>
        </w:rPr>
        <w:t xml:space="preserve"> במסגרת</w:t>
      </w:r>
      <w:r w:rsidR="00BD510E">
        <w:rPr>
          <w:rFonts w:hint="cs"/>
          <w:rtl/>
        </w:rPr>
        <w:t xml:space="preserve"> החוק המוצע</w:t>
      </w:r>
      <w:r w:rsidR="00485CC2">
        <w:rPr>
          <w:rFonts w:hint="cs"/>
          <w:rtl/>
        </w:rPr>
        <w:t>, ועל מנת למנוע מצב בו אותה התנהגות ממש ת</w:t>
      </w:r>
      <w:r w:rsidR="00C50BB6">
        <w:rPr>
          <w:rFonts w:hint="cs"/>
          <w:rtl/>
        </w:rPr>
        <w:t>י</w:t>
      </w:r>
      <w:r w:rsidR="00485CC2">
        <w:rPr>
          <w:rFonts w:hint="cs"/>
          <w:rtl/>
        </w:rPr>
        <w:t>אכף בדרכים שונות, כתלות בגורם האכיפה</w:t>
      </w:r>
      <w:r w:rsidRPr="008C720D">
        <w:rPr>
          <w:rFonts w:hint="cs"/>
          <w:rtl/>
        </w:rPr>
        <w:t>.</w:t>
      </w:r>
      <w:r>
        <w:rPr>
          <w:rFonts w:hint="cs"/>
          <w:rtl/>
        </w:rPr>
        <w:t xml:space="preserve"> </w:t>
      </w:r>
    </w:p>
    <w:p w:rsidR="00AB3999" w:rsidRDefault="00AB3999" w:rsidP="00D166E0">
      <w:pPr>
        <w:pStyle w:val="Hesber"/>
        <w:rPr>
          <w:rtl/>
        </w:rPr>
      </w:pPr>
      <w:r>
        <w:rPr>
          <w:rFonts w:hint="cs"/>
          <w:rtl/>
        </w:rPr>
        <w:t>"</w:t>
      </w:r>
      <w:r>
        <w:rPr>
          <w:rFonts w:hint="cs"/>
          <w:b/>
          <w:bCs/>
          <w:rtl/>
        </w:rPr>
        <w:t>דיון באמצעים טכנולוגיים"</w:t>
      </w:r>
      <w:r>
        <w:rPr>
          <w:rFonts w:hint="cs"/>
          <w:rtl/>
        </w:rPr>
        <w:t xml:space="preserve"> </w:t>
      </w:r>
      <w:r w:rsidR="00D166E0">
        <w:rPr>
          <w:rtl/>
        </w:rPr>
        <w:t>–</w:t>
      </w:r>
      <w:r w:rsidR="00D166E0">
        <w:rPr>
          <w:rFonts w:hint="cs"/>
          <w:rtl/>
        </w:rPr>
        <w:t xml:space="preserve"> </w:t>
      </w:r>
      <w:r>
        <w:rPr>
          <w:rFonts w:hint="cs"/>
          <w:rtl/>
        </w:rPr>
        <w:t xml:space="preserve">ברירת המחדל בכל הנוגע לאופן קיום דיונים בבית הדין </w:t>
      </w:r>
      <w:r w:rsidRPr="00DA4130">
        <w:rPr>
          <w:rFonts w:hint="cs"/>
          <w:rtl/>
        </w:rPr>
        <w:t>לתעבורה</w:t>
      </w:r>
      <w:r w:rsidR="00D166E0">
        <w:rPr>
          <w:rFonts w:hint="cs"/>
          <w:rtl/>
        </w:rPr>
        <w:t xml:space="preserve"> תהיה קיום הליכים</w:t>
      </w:r>
      <w:r>
        <w:rPr>
          <w:rtl/>
        </w:rPr>
        <w:t xml:space="preserve"> באופן מקוון</w:t>
      </w:r>
      <w:r>
        <w:rPr>
          <w:rFonts w:hint="cs"/>
          <w:rtl/>
        </w:rPr>
        <w:t xml:space="preserve">. הגדרה זו מבוססת על ההגדרה בה נעשה שימוש בדברי חקיקה </w:t>
      </w:r>
      <w:r w:rsidRPr="00C61F7F">
        <w:rPr>
          <w:rFonts w:hint="cs"/>
          <w:rtl/>
        </w:rPr>
        <w:t>אחרים</w:t>
      </w:r>
      <w:r>
        <w:rPr>
          <w:rFonts w:hint="cs"/>
          <w:rtl/>
        </w:rPr>
        <w:t>, וביניהם סעיף 21(ה)(4) לחוק התכנית לסיוע כלכלי (נגיף הקורונה החדש) (הוראת שעה), התש"ף-2020</w:t>
      </w:r>
      <w:r>
        <w:rPr>
          <w:rStyle w:val="a9"/>
          <w:rtl/>
        </w:rPr>
        <w:footnoteReference w:id="26"/>
      </w:r>
      <w:r>
        <w:rPr>
          <w:rFonts w:hint="cs"/>
          <w:rtl/>
        </w:rPr>
        <w:t xml:space="preserve"> וסעיף 12(ג)(3)(ב) חוק מענק לעידוד תעסוקה (הוראת שעה </w:t>
      </w:r>
      <w:r>
        <w:rPr>
          <w:rtl/>
        </w:rPr>
        <w:t>–</w:t>
      </w:r>
      <w:r>
        <w:rPr>
          <w:rFonts w:hint="cs"/>
          <w:rtl/>
        </w:rPr>
        <w:t xml:space="preserve"> נגיף הקורונה החדש), התש"ף-2020</w:t>
      </w:r>
      <w:r>
        <w:rPr>
          <w:rStyle w:val="a9"/>
          <w:rtl/>
        </w:rPr>
        <w:footnoteReference w:id="27"/>
      </w:r>
      <w:r>
        <w:rPr>
          <w:rFonts w:hint="cs"/>
          <w:rtl/>
        </w:rPr>
        <w:t>.</w:t>
      </w:r>
    </w:p>
    <w:p w:rsidR="00AB3999" w:rsidRDefault="00AB3999" w:rsidP="00D166E0">
      <w:pPr>
        <w:pStyle w:val="Hesber"/>
        <w:rPr>
          <w:rtl/>
        </w:rPr>
      </w:pPr>
      <w:r>
        <w:rPr>
          <w:rFonts w:hint="cs"/>
          <w:rtl/>
        </w:rPr>
        <w:t>"</w:t>
      </w:r>
      <w:r>
        <w:rPr>
          <w:rFonts w:hint="cs"/>
          <w:b/>
          <w:bCs/>
          <w:rtl/>
        </w:rPr>
        <w:t>הפרת תעבורה"</w:t>
      </w:r>
      <w:r w:rsidR="00C50BB6">
        <w:rPr>
          <w:rFonts w:hint="cs"/>
          <w:rtl/>
        </w:rPr>
        <w:t xml:space="preserve"> </w:t>
      </w:r>
      <w:r w:rsidR="00C50BB6">
        <w:rPr>
          <w:rtl/>
        </w:rPr>
        <w:t>–</w:t>
      </w:r>
      <w:r>
        <w:rPr>
          <w:rFonts w:hint="cs"/>
          <w:rtl/>
        </w:rPr>
        <w:t xml:space="preserve"> </w:t>
      </w:r>
      <w:r w:rsidR="00D166E0">
        <w:rPr>
          <w:rFonts w:hint="cs"/>
          <w:rtl/>
        </w:rPr>
        <w:t>הגדרה זו נועדה לשם מתן ביטוי</w:t>
      </w:r>
      <w:r>
        <w:rPr>
          <w:rFonts w:hint="cs"/>
          <w:rtl/>
        </w:rPr>
        <w:t xml:space="preserve"> למעבר מן המישור הפלילי, שם נעשה שימוש במונח </w:t>
      </w:r>
      <w:r w:rsidR="00D166E0">
        <w:rPr>
          <w:rFonts w:hint="cs"/>
          <w:rtl/>
        </w:rPr>
        <w:t>"</w:t>
      </w:r>
      <w:r>
        <w:rPr>
          <w:rFonts w:hint="cs"/>
          <w:rtl/>
        </w:rPr>
        <w:t>עבירות תעבורה</w:t>
      </w:r>
      <w:r w:rsidR="00D166E0">
        <w:rPr>
          <w:rFonts w:hint="cs"/>
          <w:rtl/>
        </w:rPr>
        <w:t>"</w:t>
      </w:r>
      <w:r>
        <w:rPr>
          <w:rFonts w:hint="cs"/>
          <w:rtl/>
        </w:rPr>
        <w:t xml:space="preserve">, למישור </w:t>
      </w:r>
      <w:proofErr w:type="spellStart"/>
      <w:r>
        <w:rPr>
          <w:rFonts w:hint="cs"/>
          <w:rtl/>
        </w:rPr>
        <w:t>המינהלי</w:t>
      </w:r>
      <w:proofErr w:type="spellEnd"/>
      <w:r>
        <w:rPr>
          <w:rFonts w:hint="cs"/>
          <w:rtl/>
        </w:rPr>
        <w:t xml:space="preserve">. מינוח זה </w:t>
      </w:r>
      <w:r w:rsidRPr="00C61F7F">
        <w:rPr>
          <w:rFonts w:hint="cs"/>
          <w:rtl/>
        </w:rPr>
        <w:t>מבוסס</w:t>
      </w:r>
      <w:r>
        <w:rPr>
          <w:rFonts w:hint="cs"/>
          <w:rtl/>
        </w:rPr>
        <w:t xml:space="preserve"> על המלצות הצוות </w:t>
      </w:r>
      <w:proofErr w:type="spellStart"/>
      <w:r>
        <w:rPr>
          <w:rFonts w:hint="cs"/>
          <w:rtl/>
        </w:rPr>
        <w:t>הבינמשרדי</w:t>
      </w:r>
      <w:proofErr w:type="spellEnd"/>
      <w:r>
        <w:rPr>
          <w:rFonts w:hint="cs"/>
          <w:rtl/>
        </w:rPr>
        <w:t xml:space="preserve">, אשר התייחס במסגרת הדו"ח ל"הפרות תעבורה </w:t>
      </w:r>
      <w:proofErr w:type="spellStart"/>
      <w:r w:rsidRPr="000B5BDC">
        <w:rPr>
          <w:rFonts w:hint="cs"/>
          <w:rtl/>
        </w:rPr>
        <w:t>מינהליות</w:t>
      </w:r>
      <w:proofErr w:type="spellEnd"/>
      <w:r w:rsidRPr="000B5BDC">
        <w:rPr>
          <w:rFonts w:hint="cs"/>
          <w:rtl/>
        </w:rPr>
        <w:t xml:space="preserve">". במסגרת הצעת החוק, מוצע כי הפרות התעבורה יוגדרו בתוספת </w:t>
      </w:r>
      <w:r w:rsidR="00C50BB6">
        <w:rPr>
          <w:rFonts w:hint="cs"/>
          <w:rtl/>
        </w:rPr>
        <w:t>השנייה</w:t>
      </w:r>
      <w:r w:rsidR="00C50BB6" w:rsidRPr="000B5BDC">
        <w:rPr>
          <w:rFonts w:hint="cs"/>
          <w:rtl/>
        </w:rPr>
        <w:t xml:space="preserve"> </w:t>
      </w:r>
      <w:r w:rsidRPr="000B5BDC">
        <w:rPr>
          <w:rFonts w:hint="cs"/>
          <w:rtl/>
        </w:rPr>
        <w:t>לחוק, כפי שיפורט בסעיף 2(ב) להלן, וזאת על מנת ליצור הסדר ע</w:t>
      </w:r>
      <w:r w:rsidR="00D166E0">
        <w:rPr>
          <w:rFonts w:hint="cs"/>
          <w:rtl/>
        </w:rPr>
        <w:t xml:space="preserve">צמאי ולאפשר הגדרת הפרות תעבורה </w:t>
      </w:r>
      <w:r w:rsidRPr="000B5BDC">
        <w:rPr>
          <w:rFonts w:hint="cs"/>
          <w:rtl/>
        </w:rPr>
        <w:t>רלוונטיות למנגנון המוצע ב</w:t>
      </w:r>
      <w:r w:rsidR="00C50BB6">
        <w:rPr>
          <w:rFonts w:hint="cs"/>
          <w:rtl/>
        </w:rPr>
        <w:t xml:space="preserve">הצעת </w:t>
      </w:r>
      <w:r w:rsidRPr="000B5BDC">
        <w:rPr>
          <w:rFonts w:hint="cs"/>
          <w:rtl/>
        </w:rPr>
        <w:t>חוק זה.</w:t>
      </w:r>
      <w:r>
        <w:rPr>
          <w:rFonts w:hint="cs"/>
          <w:rtl/>
        </w:rPr>
        <w:t xml:space="preserve"> </w:t>
      </w:r>
    </w:p>
    <w:p w:rsidR="00AB3999" w:rsidRPr="00FF14D9" w:rsidRDefault="00AB3999" w:rsidP="00D166E0">
      <w:pPr>
        <w:pStyle w:val="Hesber"/>
        <w:rPr>
          <w:rtl/>
        </w:rPr>
      </w:pPr>
      <w:r w:rsidRPr="00FF14D9">
        <w:rPr>
          <w:rFonts w:hint="cs"/>
          <w:b/>
          <w:bCs/>
          <w:rtl/>
        </w:rPr>
        <w:t xml:space="preserve">"קנס </w:t>
      </w:r>
      <w:r w:rsidR="0082002F">
        <w:rPr>
          <w:rFonts w:hint="cs"/>
          <w:b/>
          <w:bCs/>
          <w:rtl/>
        </w:rPr>
        <w:t>הפרה</w:t>
      </w:r>
      <w:r w:rsidRPr="00FF14D9">
        <w:rPr>
          <w:rFonts w:hint="cs"/>
          <w:b/>
          <w:bCs/>
          <w:rtl/>
        </w:rPr>
        <w:t>"</w:t>
      </w:r>
      <w:r w:rsidRPr="00FF14D9">
        <w:rPr>
          <w:rFonts w:hint="cs"/>
          <w:rtl/>
        </w:rPr>
        <w:t xml:space="preserve">, </w:t>
      </w:r>
      <w:r w:rsidR="009A7295">
        <w:rPr>
          <w:rFonts w:hint="cs"/>
          <w:rtl/>
        </w:rPr>
        <w:t xml:space="preserve">הגדרה זו נועדה </w:t>
      </w:r>
      <w:r w:rsidRPr="00FF14D9">
        <w:rPr>
          <w:rFonts w:hint="cs"/>
          <w:rtl/>
        </w:rPr>
        <w:t>לשם הבחנה בין קנס לפי חוק זה, שהינו קנס המוטל בדרך מנהלית</w:t>
      </w:r>
      <w:r>
        <w:rPr>
          <w:rFonts w:hint="cs"/>
          <w:rtl/>
        </w:rPr>
        <w:t xml:space="preserve"> ועל בסיס החלטה </w:t>
      </w:r>
      <w:proofErr w:type="spellStart"/>
      <w:r>
        <w:rPr>
          <w:rFonts w:hint="cs"/>
          <w:rtl/>
        </w:rPr>
        <w:t>מינהלית</w:t>
      </w:r>
      <w:proofErr w:type="spellEnd"/>
      <w:r w:rsidRPr="00FF14D9">
        <w:rPr>
          <w:rFonts w:hint="cs"/>
          <w:rtl/>
        </w:rPr>
        <w:t xml:space="preserve">, לבין קנס במובנו הפלילי. יצוין, כי הגדרה דומה מופיעה </w:t>
      </w:r>
      <w:r>
        <w:rPr>
          <w:rFonts w:hint="cs"/>
          <w:rtl/>
        </w:rPr>
        <w:t>ב</w:t>
      </w:r>
      <w:r w:rsidR="00D166E0">
        <w:rPr>
          <w:rFonts w:hint="cs"/>
          <w:rtl/>
        </w:rPr>
        <w:t>סעיף 2(א) ל</w:t>
      </w:r>
      <w:r w:rsidRPr="00FF14D9">
        <w:rPr>
          <w:rFonts w:hint="cs"/>
          <w:rtl/>
        </w:rPr>
        <w:t xml:space="preserve">חוק העבירות </w:t>
      </w:r>
      <w:proofErr w:type="spellStart"/>
      <w:r w:rsidRPr="00FF14D9">
        <w:rPr>
          <w:rFonts w:hint="cs"/>
          <w:rtl/>
        </w:rPr>
        <w:t>המינהליות</w:t>
      </w:r>
      <w:proofErr w:type="spellEnd"/>
      <w:r w:rsidRPr="00FF14D9">
        <w:rPr>
          <w:rFonts w:hint="cs"/>
          <w:rtl/>
        </w:rPr>
        <w:t>, התשמ"ו-1985</w:t>
      </w:r>
      <w:r w:rsidRPr="00FF14D9">
        <w:rPr>
          <w:rStyle w:val="a9"/>
          <w:sz w:val="26"/>
          <w:rtl/>
        </w:rPr>
        <w:footnoteReference w:id="28"/>
      </w:r>
      <w:r w:rsidRPr="00FF14D9">
        <w:rPr>
          <w:rFonts w:hint="cs"/>
          <w:rtl/>
        </w:rPr>
        <w:t xml:space="preserve"> (להלן: </w:t>
      </w:r>
      <w:r w:rsidRPr="00FF14D9">
        <w:rPr>
          <w:rFonts w:hint="cs"/>
          <w:b/>
          <w:bCs/>
          <w:rtl/>
        </w:rPr>
        <w:t xml:space="preserve">"חוק העבירות </w:t>
      </w:r>
      <w:proofErr w:type="spellStart"/>
      <w:r w:rsidRPr="00FF14D9">
        <w:rPr>
          <w:rFonts w:hint="cs"/>
          <w:b/>
          <w:bCs/>
          <w:rtl/>
        </w:rPr>
        <w:t>המינהליות</w:t>
      </w:r>
      <w:proofErr w:type="spellEnd"/>
      <w:r w:rsidRPr="00FF14D9">
        <w:rPr>
          <w:rFonts w:hint="cs"/>
          <w:b/>
          <w:bCs/>
          <w:rtl/>
        </w:rPr>
        <w:t>"</w:t>
      </w:r>
      <w:r w:rsidRPr="00FF14D9">
        <w:rPr>
          <w:rFonts w:hint="cs"/>
          <w:rtl/>
        </w:rPr>
        <w:t xml:space="preserve">), שם מתייחסים גם כן </w:t>
      </w:r>
      <w:r w:rsidR="00D166E0">
        <w:rPr>
          <w:rFonts w:hint="cs"/>
          <w:rtl/>
        </w:rPr>
        <w:t xml:space="preserve">לקנס שניתן להטילו בדרך </w:t>
      </w:r>
      <w:proofErr w:type="spellStart"/>
      <w:r w:rsidR="00D166E0">
        <w:rPr>
          <w:rFonts w:hint="cs"/>
          <w:rtl/>
        </w:rPr>
        <w:t>מינהלית</w:t>
      </w:r>
      <w:proofErr w:type="spellEnd"/>
      <w:r w:rsidRPr="00FF14D9">
        <w:rPr>
          <w:rFonts w:hint="cs"/>
          <w:rtl/>
        </w:rPr>
        <w:t>.</w:t>
      </w:r>
    </w:p>
    <w:p w:rsidR="00AB3999" w:rsidRDefault="00AB3999" w:rsidP="00AB3999">
      <w:pPr>
        <w:pStyle w:val="Hesber"/>
        <w:tabs>
          <w:tab w:val="left" w:pos="424"/>
        </w:tabs>
        <w:ind w:firstLine="0"/>
        <w:rPr>
          <w:rtl/>
        </w:rPr>
      </w:pPr>
    </w:p>
    <w:p w:rsidR="00AB3999" w:rsidRPr="00C61F7F" w:rsidRDefault="00AB3999" w:rsidP="00C61F7F">
      <w:pPr>
        <w:pStyle w:val="Hesber1st"/>
        <w:tabs>
          <w:tab w:val="clear" w:pos="680"/>
        </w:tabs>
        <w:rPr>
          <w:b/>
          <w:bCs/>
        </w:rPr>
      </w:pPr>
      <w:r w:rsidRPr="00C61F7F">
        <w:rPr>
          <w:rFonts w:hint="cs"/>
          <w:b/>
          <w:bCs/>
          <w:rtl/>
        </w:rPr>
        <w:t xml:space="preserve">פרק א': הפרת תעבורה </w:t>
      </w:r>
      <w:proofErr w:type="spellStart"/>
      <w:r w:rsidRPr="00C61F7F">
        <w:rPr>
          <w:rFonts w:hint="cs"/>
          <w:b/>
          <w:bCs/>
          <w:rtl/>
        </w:rPr>
        <w:t>מינהלית</w:t>
      </w:r>
      <w:proofErr w:type="spellEnd"/>
      <w:r w:rsidRPr="00C61F7F">
        <w:rPr>
          <w:rFonts w:hint="cs"/>
          <w:b/>
          <w:bCs/>
          <w:rtl/>
        </w:rPr>
        <w:t xml:space="preserve"> </w:t>
      </w:r>
    </w:p>
    <w:p w:rsidR="00AB3999" w:rsidRPr="00C61F7F" w:rsidRDefault="00AB3999" w:rsidP="00D166E0">
      <w:pPr>
        <w:pStyle w:val="Hesber1st"/>
        <w:tabs>
          <w:tab w:val="clear" w:pos="680"/>
        </w:tabs>
        <w:rPr>
          <w:rtl/>
        </w:rPr>
      </w:pPr>
      <w:r w:rsidRPr="00C61F7F">
        <w:rPr>
          <w:rFonts w:hint="cs"/>
          <w:b/>
          <w:bCs/>
          <w:rtl/>
        </w:rPr>
        <w:t>סעיף 2</w:t>
      </w:r>
      <w:r w:rsidRPr="00C61F7F">
        <w:rPr>
          <w:rFonts w:hint="cs"/>
          <w:rtl/>
        </w:rPr>
        <w:t xml:space="preserve"> </w:t>
      </w:r>
      <w:r w:rsidRPr="00C61F7F">
        <w:rPr>
          <w:rtl/>
        </w:rPr>
        <w:t>–</w:t>
      </w:r>
      <w:r w:rsidRPr="00C61F7F">
        <w:rPr>
          <w:rFonts w:hint="cs"/>
          <w:rtl/>
        </w:rPr>
        <w:t xml:space="preserve"> סעיף זה נועד לקבוע את הבסיס לשינוי המוצע במסגרת </w:t>
      </w:r>
      <w:r w:rsidR="00D166E0">
        <w:rPr>
          <w:rFonts w:hint="cs"/>
          <w:rtl/>
        </w:rPr>
        <w:t>הצעת החוק</w:t>
      </w:r>
      <w:r w:rsidR="00C61F7F" w:rsidRPr="00C61F7F">
        <w:rPr>
          <w:rFonts w:hint="cs"/>
          <w:rtl/>
        </w:rPr>
        <w:t xml:space="preserve"> </w:t>
      </w:r>
      <w:r w:rsidRPr="00C61F7F">
        <w:rPr>
          <w:rFonts w:hint="cs"/>
          <w:rtl/>
        </w:rPr>
        <w:t xml:space="preserve">והוא מעבר מאכיפת עבירות תעבורה במישור הפלילי </w:t>
      </w:r>
      <w:r w:rsidR="00D166E0">
        <w:rPr>
          <w:rFonts w:hint="cs"/>
          <w:rtl/>
        </w:rPr>
        <w:t>לאכיפת</w:t>
      </w:r>
      <w:r w:rsidRPr="00C61F7F">
        <w:rPr>
          <w:rFonts w:hint="cs"/>
          <w:rtl/>
        </w:rPr>
        <w:t xml:space="preserve"> הפרות תעבורה במישור </w:t>
      </w:r>
      <w:proofErr w:type="spellStart"/>
      <w:r w:rsidRPr="00C61F7F">
        <w:rPr>
          <w:rFonts w:hint="cs"/>
          <w:rtl/>
        </w:rPr>
        <w:t>המינהלי</w:t>
      </w:r>
      <w:proofErr w:type="spellEnd"/>
      <w:r w:rsidRPr="00C61F7F">
        <w:rPr>
          <w:rFonts w:hint="cs"/>
          <w:rtl/>
        </w:rPr>
        <w:t xml:space="preserve">. </w:t>
      </w:r>
    </w:p>
    <w:p w:rsidR="00AB3999" w:rsidRPr="000173A8" w:rsidRDefault="00AB3999" w:rsidP="006A5579">
      <w:pPr>
        <w:pStyle w:val="Hesber"/>
        <w:rPr>
          <w:rtl/>
        </w:rPr>
      </w:pPr>
      <w:r w:rsidRPr="000B5BDC">
        <w:rPr>
          <w:rFonts w:hint="cs"/>
          <w:rtl/>
        </w:rPr>
        <w:t xml:space="preserve">בהתאם, במסגרת </w:t>
      </w:r>
      <w:r w:rsidRPr="000B5BDC">
        <w:rPr>
          <w:rFonts w:hint="cs"/>
          <w:b/>
          <w:bCs/>
          <w:rtl/>
        </w:rPr>
        <w:t xml:space="preserve">סעיף קטן (א) </w:t>
      </w:r>
      <w:r w:rsidRPr="000B5BDC">
        <w:rPr>
          <w:rFonts w:hint="cs"/>
          <w:rtl/>
        </w:rPr>
        <w:t xml:space="preserve">מוצע, כי ככל שהיה לגורם אכיפה יסוד סביר להניח כי אדם ביצע הפרת </w:t>
      </w:r>
      <w:r w:rsidRPr="000B5BDC">
        <w:rPr>
          <w:rFonts w:hint="cs"/>
          <w:sz w:val="26"/>
          <w:rtl/>
        </w:rPr>
        <w:t>תעבורה</w:t>
      </w:r>
      <w:r w:rsidRPr="000B5BDC">
        <w:rPr>
          <w:rFonts w:hint="cs"/>
          <w:rtl/>
        </w:rPr>
        <w:t xml:space="preserve">, </w:t>
      </w:r>
      <w:r w:rsidR="00C61F7F">
        <w:rPr>
          <w:rFonts w:hint="cs"/>
          <w:rtl/>
        </w:rPr>
        <w:t>הוא יהיה רשאי לקבוע</w:t>
      </w:r>
      <w:r w:rsidR="00C61F7F" w:rsidRPr="000B5BDC">
        <w:rPr>
          <w:rFonts w:hint="cs"/>
          <w:rtl/>
        </w:rPr>
        <w:t xml:space="preserve"> </w:t>
      </w:r>
      <w:r w:rsidRPr="00C61F7F">
        <w:rPr>
          <w:rFonts w:hint="cs"/>
          <w:rtl/>
        </w:rPr>
        <w:t>כי</w:t>
      </w:r>
      <w:r w:rsidRPr="000B5BDC">
        <w:rPr>
          <w:rFonts w:hint="cs"/>
          <w:rtl/>
        </w:rPr>
        <w:t xml:space="preserve"> בוצעה הפרת תעבורה ו</w:t>
      </w:r>
      <w:r w:rsidR="00C61F7F">
        <w:rPr>
          <w:rFonts w:hint="cs"/>
          <w:rtl/>
        </w:rPr>
        <w:t>להורות</w:t>
      </w:r>
      <w:r w:rsidRPr="000B5BDC">
        <w:rPr>
          <w:rFonts w:hint="cs"/>
          <w:rtl/>
        </w:rPr>
        <w:t xml:space="preserve"> על תשלום קנס בדרך </w:t>
      </w:r>
      <w:proofErr w:type="spellStart"/>
      <w:r w:rsidRPr="000B5BDC">
        <w:rPr>
          <w:rFonts w:hint="cs"/>
          <w:rtl/>
        </w:rPr>
        <w:t>מינהלית</w:t>
      </w:r>
      <w:proofErr w:type="spellEnd"/>
      <w:r w:rsidRPr="000B5BDC">
        <w:rPr>
          <w:rFonts w:hint="cs"/>
          <w:rtl/>
        </w:rPr>
        <w:t xml:space="preserve">, בהתאם לסכומים הקבועים בתוספת </w:t>
      </w:r>
      <w:r w:rsidR="00C61F7F">
        <w:rPr>
          <w:rFonts w:hint="cs"/>
          <w:rtl/>
        </w:rPr>
        <w:t>הראשונה</w:t>
      </w:r>
      <w:r w:rsidRPr="000B5BDC">
        <w:rPr>
          <w:rFonts w:hint="cs"/>
          <w:rtl/>
        </w:rPr>
        <w:t>.</w:t>
      </w:r>
      <w:r w:rsidR="00081A80">
        <w:rPr>
          <w:rFonts w:hint="cs"/>
          <w:rtl/>
        </w:rPr>
        <w:t xml:space="preserve"> כתוצאה מ</w:t>
      </w:r>
      <w:r w:rsidR="006A5579">
        <w:rPr>
          <w:rFonts w:hint="cs"/>
          <w:rtl/>
        </w:rPr>
        <w:t>החלטה כאמור, יירשמו לחובתו של בעל הרישיון נקודות, בהתאם לשיטת הניקוד לפי סעיף 69א לפקודת התעבורה.</w:t>
      </w:r>
    </w:p>
    <w:p w:rsidR="00AB3999" w:rsidRDefault="00AB3999" w:rsidP="00C61F7F">
      <w:pPr>
        <w:pStyle w:val="Hesber"/>
        <w:tabs>
          <w:tab w:val="left" w:pos="424"/>
        </w:tabs>
        <w:rPr>
          <w:rtl/>
        </w:rPr>
      </w:pPr>
      <w:r w:rsidRPr="000173A8">
        <w:rPr>
          <w:rFonts w:hint="cs"/>
          <w:rtl/>
        </w:rPr>
        <w:t>כאמור, סעיף קטן זה דורש כי לגורם האכיפה יהיה</w:t>
      </w:r>
      <w:r>
        <w:rPr>
          <w:rFonts w:hint="cs"/>
          <w:rtl/>
        </w:rPr>
        <w:t xml:space="preserve"> "יסוד סביר להניח" כי אדם ביצע הפרת תעבורה. נטל ראייתי מסוג זה מקובל בהקשרים דומים. כך, במסגרת סעיף 228(ב) </w:t>
      </w:r>
      <w:r w:rsidR="00C61F7F">
        <w:rPr>
          <w:rFonts w:hint="cs"/>
          <w:rtl/>
        </w:rPr>
        <w:t>ל</w:t>
      </w:r>
      <w:r w:rsidR="00C61F7F" w:rsidRPr="0015169F">
        <w:rPr>
          <w:rFonts w:hint="cs"/>
          <w:rtl/>
        </w:rPr>
        <w:t>חוק סדר הדין הפלילי [נוסח משולב], התשמ"ב-1982</w:t>
      </w:r>
      <w:r w:rsidR="00C61F7F">
        <w:rPr>
          <w:rFonts w:hint="cs"/>
          <w:rtl/>
        </w:rPr>
        <w:t xml:space="preserve"> (להלן: </w:t>
      </w:r>
      <w:r w:rsidR="00C61F7F">
        <w:rPr>
          <w:rFonts w:hint="cs"/>
          <w:b/>
          <w:bCs/>
          <w:rtl/>
        </w:rPr>
        <w:t>"חוק סדר הדין הפלילי"</w:t>
      </w:r>
      <w:r w:rsidR="00C61F7F">
        <w:rPr>
          <w:rFonts w:hint="cs"/>
          <w:rtl/>
        </w:rPr>
        <w:t>)</w:t>
      </w:r>
      <w:r>
        <w:rPr>
          <w:rFonts w:hint="cs"/>
          <w:rtl/>
        </w:rPr>
        <w:t xml:space="preserve">, </w:t>
      </w:r>
      <w:r w:rsidRPr="0033664F">
        <w:rPr>
          <w:rFonts w:hint="cs"/>
          <w:rtl/>
        </w:rPr>
        <w:t xml:space="preserve">שעוסק באכיפת עבירות קנס, </w:t>
      </w:r>
      <w:r>
        <w:rPr>
          <w:rFonts w:hint="cs"/>
          <w:rtl/>
        </w:rPr>
        <w:t xml:space="preserve">נדרש </w:t>
      </w:r>
      <w:r w:rsidRPr="0033664F">
        <w:rPr>
          <w:rFonts w:hint="cs"/>
          <w:rtl/>
        </w:rPr>
        <w:t>"יסוד להניח כי אדם פלוני עבר עבירה של ברירת משפט [...]"</w:t>
      </w:r>
      <w:r>
        <w:rPr>
          <w:rFonts w:hint="cs"/>
          <w:rtl/>
        </w:rPr>
        <w:t xml:space="preserve"> לשם מסירת הודעת תשלום קנס</w:t>
      </w:r>
      <w:r w:rsidRPr="0033664F">
        <w:rPr>
          <w:rFonts w:hint="cs"/>
          <w:rtl/>
        </w:rPr>
        <w:t xml:space="preserve">; </w:t>
      </w:r>
      <w:r>
        <w:rPr>
          <w:rFonts w:hint="cs"/>
          <w:rtl/>
        </w:rPr>
        <w:t xml:space="preserve">כך גם </w:t>
      </w:r>
      <w:r w:rsidRPr="0033664F">
        <w:rPr>
          <w:rFonts w:hint="cs"/>
          <w:rtl/>
        </w:rPr>
        <w:t xml:space="preserve">במסגרת סעיף </w:t>
      </w:r>
      <w:r>
        <w:rPr>
          <w:rFonts w:hint="cs"/>
          <w:rtl/>
        </w:rPr>
        <w:t xml:space="preserve">8(א) </w:t>
      </w:r>
      <w:r w:rsidRPr="0033664F">
        <w:rPr>
          <w:rFonts w:hint="cs"/>
          <w:rtl/>
        </w:rPr>
        <w:t xml:space="preserve">לחוק </w:t>
      </w:r>
      <w:r>
        <w:rPr>
          <w:rFonts w:hint="cs"/>
          <w:rtl/>
        </w:rPr>
        <w:t>ה</w:t>
      </w:r>
      <w:r w:rsidRPr="0033664F">
        <w:rPr>
          <w:rFonts w:hint="cs"/>
          <w:rtl/>
        </w:rPr>
        <w:t xml:space="preserve">עבירות </w:t>
      </w:r>
      <w:proofErr w:type="spellStart"/>
      <w:r>
        <w:rPr>
          <w:rFonts w:hint="cs"/>
          <w:rtl/>
        </w:rPr>
        <w:t>ה</w:t>
      </w:r>
      <w:r w:rsidRPr="0033664F">
        <w:rPr>
          <w:rFonts w:hint="cs"/>
          <w:rtl/>
        </w:rPr>
        <w:t>מינהליות</w:t>
      </w:r>
      <w:proofErr w:type="spellEnd"/>
      <w:r w:rsidR="00D166E0">
        <w:rPr>
          <w:rFonts w:hint="cs"/>
          <w:rtl/>
        </w:rPr>
        <w:t>, נדרש "יסוד סביר להניח כי אד</w:t>
      </w:r>
      <w:r>
        <w:rPr>
          <w:rFonts w:hint="cs"/>
          <w:rtl/>
        </w:rPr>
        <w:t xml:space="preserve">ם עבר עבירה שדינה קנס </w:t>
      </w:r>
      <w:proofErr w:type="spellStart"/>
      <w:r>
        <w:rPr>
          <w:rFonts w:hint="cs"/>
          <w:rtl/>
        </w:rPr>
        <w:t>מינהלי</w:t>
      </w:r>
      <w:proofErr w:type="spellEnd"/>
      <w:r>
        <w:rPr>
          <w:rFonts w:hint="cs"/>
          <w:rtl/>
        </w:rPr>
        <w:t xml:space="preserve"> קצוב [...]" לשם הטלת קנס </w:t>
      </w:r>
      <w:proofErr w:type="spellStart"/>
      <w:r>
        <w:rPr>
          <w:rFonts w:hint="cs"/>
          <w:rtl/>
        </w:rPr>
        <w:t>מינהלי</w:t>
      </w:r>
      <w:proofErr w:type="spellEnd"/>
      <w:r>
        <w:rPr>
          <w:rFonts w:hint="cs"/>
          <w:rtl/>
        </w:rPr>
        <w:t>. בנוסף,</w:t>
      </w:r>
      <w:r w:rsidRPr="0033664F">
        <w:rPr>
          <w:rFonts w:hint="cs"/>
          <w:rtl/>
        </w:rPr>
        <w:t xml:space="preserve"> נעשה שימוש ב</w:t>
      </w:r>
      <w:r>
        <w:rPr>
          <w:rFonts w:hint="cs"/>
          <w:rtl/>
        </w:rPr>
        <w:t>מינוח זה ב</w:t>
      </w:r>
      <w:r w:rsidRPr="0033664F">
        <w:rPr>
          <w:rFonts w:hint="cs"/>
          <w:rtl/>
        </w:rPr>
        <w:t>חקיקה ה</w:t>
      </w:r>
      <w:r>
        <w:rPr>
          <w:rFonts w:hint="cs"/>
          <w:rtl/>
        </w:rPr>
        <w:t>קובעות הוראות בדבר עיצומים כספיים.</w:t>
      </w:r>
    </w:p>
    <w:p w:rsidR="00AB3999" w:rsidRPr="000B5BDC" w:rsidRDefault="00AB3999" w:rsidP="00A64430">
      <w:pPr>
        <w:pStyle w:val="Hesber"/>
        <w:rPr>
          <w:rtl/>
        </w:rPr>
      </w:pPr>
      <w:r w:rsidRPr="0042340A">
        <w:rPr>
          <w:rFonts w:hint="cs"/>
          <w:b/>
          <w:bCs/>
          <w:rtl/>
        </w:rPr>
        <w:t>סעיף קטן (ב)</w:t>
      </w:r>
      <w:r w:rsidRPr="0042340A">
        <w:rPr>
          <w:rFonts w:hint="cs"/>
          <w:rtl/>
        </w:rPr>
        <w:t xml:space="preserve"> קובע את המנגנון לעדכון התוספות </w:t>
      </w:r>
      <w:r>
        <w:rPr>
          <w:rFonts w:hint="cs"/>
          <w:rtl/>
        </w:rPr>
        <w:t xml:space="preserve">הראשונה והשנייה </w:t>
      </w:r>
      <w:r w:rsidRPr="0042340A">
        <w:rPr>
          <w:rFonts w:hint="cs"/>
          <w:rtl/>
        </w:rPr>
        <w:t>לחוק</w:t>
      </w:r>
      <w:r w:rsidR="00575A9D">
        <w:rPr>
          <w:rFonts w:hint="cs"/>
          <w:rtl/>
        </w:rPr>
        <w:t xml:space="preserve"> המוצע</w:t>
      </w:r>
      <w:r w:rsidRPr="0042340A">
        <w:rPr>
          <w:rFonts w:hint="cs"/>
          <w:rtl/>
        </w:rPr>
        <w:t>, במסגרת</w:t>
      </w:r>
      <w:r>
        <w:rPr>
          <w:rFonts w:hint="cs"/>
          <w:rtl/>
        </w:rPr>
        <w:t>ן</w:t>
      </w:r>
      <w:r w:rsidRPr="0042340A">
        <w:rPr>
          <w:rFonts w:hint="cs"/>
          <w:rtl/>
        </w:rPr>
        <w:t xml:space="preserve"> יקבעו הן הפרות התעבורה הרלוונטיות לחוק זה והן דרגות הקנס</w:t>
      </w:r>
      <w:r>
        <w:rPr>
          <w:rFonts w:hint="cs"/>
          <w:rtl/>
        </w:rPr>
        <w:t xml:space="preserve"> המתאימות</w:t>
      </w:r>
      <w:r w:rsidRPr="0042340A">
        <w:rPr>
          <w:rFonts w:hint="cs"/>
          <w:rtl/>
        </w:rPr>
        <w:t xml:space="preserve">. </w:t>
      </w:r>
      <w:r>
        <w:rPr>
          <w:rFonts w:hint="cs"/>
          <w:rtl/>
        </w:rPr>
        <w:t xml:space="preserve">מנגנון זה מבוסס, בין השאר, על סעיף 30 </w:t>
      </w:r>
      <w:r w:rsidRPr="000B5BDC">
        <w:rPr>
          <w:rFonts w:hint="cs"/>
          <w:rtl/>
        </w:rPr>
        <w:t xml:space="preserve">לפקודת התעבורה, אשר קובע הוראות בדבר עבירות "ברירת משפט". ככלל, בהתאם להמלצות הצוות, </w:t>
      </w:r>
      <w:r w:rsidRPr="000B5BDC">
        <w:rPr>
          <w:rtl/>
        </w:rPr>
        <w:t xml:space="preserve">עבירות התעבורה </w:t>
      </w:r>
      <w:r w:rsidRPr="00C61F7F">
        <w:rPr>
          <w:rtl/>
        </w:rPr>
        <w:t>מסוג</w:t>
      </w:r>
      <w:r w:rsidRPr="000B5BDC">
        <w:rPr>
          <w:rtl/>
        </w:rPr>
        <w:t xml:space="preserve"> "ברירת משפט"</w:t>
      </w:r>
      <w:r w:rsidRPr="000B5BDC">
        <w:rPr>
          <w:rFonts w:hint="cs"/>
          <w:rtl/>
        </w:rPr>
        <w:t xml:space="preserve">, אשר קבועות כיום </w:t>
      </w:r>
      <w:r w:rsidR="00575A9D">
        <w:rPr>
          <w:rFonts w:hint="cs"/>
          <w:rtl/>
        </w:rPr>
        <w:t>בצו התעבורה</w:t>
      </w:r>
      <w:r w:rsidRPr="000B5BDC">
        <w:rPr>
          <w:rFonts w:hint="cs"/>
          <w:rtl/>
        </w:rPr>
        <w:t>,</w:t>
      </w:r>
      <w:r w:rsidRPr="000B5BDC">
        <w:rPr>
          <w:rtl/>
        </w:rPr>
        <w:t xml:space="preserve"> י</w:t>
      </w:r>
      <w:r w:rsidRPr="000B5BDC">
        <w:rPr>
          <w:rFonts w:hint="cs"/>
          <w:rtl/>
        </w:rPr>
        <w:t>וגדרו</w:t>
      </w:r>
      <w:r w:rsidRPr="000B5BDC">
        <w:rPr>
          <w:rtl/>
        </w:rPr>
        <w:t xml:space="preserve"> </w:t>
      </w:r>
      <w:r w:rsidRPr="000B5BDC">
        <w:rPr>
          <w:rFonts w:hint="cs"/>
          <w:rtl/>
        </w:rPr>
        <w:t>כ</w:t>
      </w:r>
      <w:r w:rsidRPr="000B5BDC">
        <w:rPr>
          <w:rtl/>
        </w:rPr>
        <w:t xml:space="preserve">הפרות תעבורה </w:t>
      </w:r>
      <w:proofErr w:type="spellStart"/>
      <w:r w:rsidRPr="000B5BDC">
        <w:rPr>
          <w:rtl/>
        </w:rPr>
        <w:t>מינהליות</w:t>
      </w:r>
      <w:proofErr w:type="spellEnd"/>
      <w:r w:rsidR="00A64430">
        <w:rPr>
          <w:rFonts w:hint="cs"/>
          <w:rtl/>
        </w:rPr>
        <w:t xml:space="preserve"> ויפורטו במסגרת התוספת השנייה. דרגות הקנס הקבועות בצו התעבורה, יקבעו ויוגדרו במסגרת התוספת הראשונה.</w:t>
      </w:r>
      <w:r w:rsidRPr="000B5BDC">
        <w:rPr>
          <w:rFonts w:hint="cs"/>
          <w:rtl/>
        </w:rPr>
        <w:t xml:space="preserve"> </w:t>
      </w:r>
      <w:r w:rsidR="00575A9D">
        <w:rPr>
          <w:rFonts w:hint="cs"/>
          <w:rtl/>
        </w:rPr>
        <w:t xml:space="preserve">יצוין, כי מוצע לקבוע את הפרות התעבורה הרלוונטיות במסגרת החוק ולא על דרך הפנייה לצו התעבורה על </w:t>
      </w:r>
      <w:r w:rsidRPr="000B5BDC">
        <w:rPr>
          <w:rFonts w:hint="cs"/>
          <w:rtl/>
        </w:rPr>
        <w:t>מנת ליצור הסדר שלם ועצמאי</w:t>
      </w:r>
      <w:r w:rsidR="00575A9D">
        <w:rPr>
          <w:rFonts w:hint="cs"/>
          <w:rtl/>
        </w:rPr>
        <w:t>, בפרט באשר המנגנון המוצע למעשה יחליף את צו התעבורה</w:t>
      </w:r>
      <w:r w:rsidRPr="000B5BDC">
        <w:rPr>
          <w:rFonts w:hint="cs"/>
          <w:rtl/>
        </w:rPr>
        <w:t>. בהקשר זה יצוין</w:t>
      </w:r>
      <w:r w:rsidRPr="000B5BDC">
        <w:rPr>
          <w:rtl/>
        </w:rPr>
        <w:t xml:space="preserve">, כי </w:t>
      </w:r>
      <w:r w:rsidRPr="000B5BDC">
        <w:rPr>
          <w:rFonts w:hint="cs"/>
          <w:rtl/>
        </w:rPr>
        <w:t xml:space="preserve">במסגרת הדו"ח, </w:t>
      </w:r>
      <w:r w:rsidRPr="000B5BDC">
        <w:rPr>
          <w:rtl/>
        </w:rPr>
        <w:t xml:space="preserve">הצוות </w:t>
      </w:r>
      <w:proofErr w:type="spellStart"/>
      <w:r w:rsidRPr="000B5BDC">
        <w:rPr>
          <w:rFonts w:hint="cs"/>
          <w:rtl/>
        </w:rPr>
        <w:t>הבינמשרדי</w:t>
      </w:r>
      <w:proofErr w:type="spellEnd"/>
      <w:r w:rsidRPr="000B5BDC">
        <w:rPr>
          <w:rFonts w:hint="cs"/>
          <w:rtl/>
        </w:rPr>
        <w:t xml:space="preserve"> ציין כי </w:t>
      </w:r>
      <w:r w:rsidRPr="000B5BDC">
        <w:rPr>
          <w:rtl/>
        </w:rPr>
        <w:t xml:space="preserve">ייתכן </w:t>
      </w:r>
      <w:r w:rsidRPr="000B5BDC">
        <w:rPr>
          <w:rFonts w:hint="cs"/>
          <w:rtl/>
        </w:rPr>
        <w:t>ש</w:t>
      </w:r>
      <w:r w:rsidRPr="000B5BDC">
        <w:rPr>
          <w:rtl/>
        </w:rPr>
        <w:t>בהמשך יהיה מקום לבחון העברת עבירות נוספות למסלול של הפרה מנהלית</w:t>
      </w:r>
      <w:r w:rsidRPr="000B5BDC">
        <w:rPr>
          <w:rFonts w:hint="cs"/>
          <w:rtl/>
        </w:rPr>
        <w:t xml:space="preserve">, לרבות </w:t>
      </w:r>
      <w:r w:rsidRPr="000B5BDC">
        <w:rPr>
          <w:rtl/>
        </w:rPr>
        <w:t xml:space="preserve">עבירות מסוג "הזמנה לדין" </w:t>
      </w:r>
      <w:r w:rsidRPr="000B5BDC">
        <w:rPr>
          <w:rFonts w:hint="cs"/>
          <w:rtl/>
        </w:rPr>
        <w:t>ועבירות חניה. בהתאם, המנגנון המוצע נועד לאפשר את ה</w:t>
      </w:r>
      <w:r w:rsidR="00D166E0">
        <w:rPr>
          <w:rFonts w:hint="cs"/>
          <w:rtl/>
        </w:rPr>
        <w:t>גמישות הנדרשת לשם עדכון התוספות</w:t>
      </w:r>
      <w:r w:rsidRPr="000B5BDC">
        <w:rPr>
          <w:rFonts w:hint="cs"/>
          <w:rtl/>
        </w:rPr>
        <w:t>.</w:t>
      </w:r>
      <w:r w:rsidR="00B2404F">
        <w:rPr>
          <w:rFonts w:hint="cs"/>
          <w:rtl/>
        </w:rPr>
        <w:t xml:space="preserve"> </w:t>
      </w:r>
    </w:p>
    <w:p w:rsidR="00AB3999" w:rsidRDefault="00AB3999" w:rsidP="00D166E0">
      <w:pPr>
        <w:pStyle w:val="Hesber"/>
        <w:rPr>
          <w:rtl/>
        </w:rPr>
      </w:pPr>
      <w:r w:rsidRPr="000B5BDC">
        <w:rPr>
          <w:rFonts w:hint="cs"/>
          <w:b/>
          <w:bCs/>
          <w:rtl/>
        </w:rPr>
        <w:t>סעיף קטן (ג)</w:t>
      </w:r>
      <w:r w:rsidRPr="000B5BDC">
        <w:rPr>
          <w:rFonts w:hint="cs"/>
          <w:rtl/>
        </w:rPr>
        <w:t xml:space="preserve"> נועד להסדיר את היחס בין </w:t>
      </w:r>
      <w:r w:rsidRPr="00575A9D">
        <w:rPr>
          <w:rFonts w:hint="cs"/>
          <w:rtl/>
        </w:rPr>
        <w:t>הפרה</w:t>
      </w:r>
      <w:r w:rsidRPr="000B5BDC">
        <w:rPr>
          <w:rFonts w:hint="cs"/>
          <w:rtl/>
        </w:rPr>
        <w:t xml:space="preserve"> </w:t>
      </w:r>
      <w:proofErr w:type="spellStart"/>
      <w:r w:rsidRPr="000B5BDC">
        <w:rPr>
          <w:rFonts w:hint="cs"/>
          <w:rtl/>
        </w:rPr>
        <w:t>מינהלית</w:t>
      </w:r>
      <w:proofErr w:type="spellEnd"/>
      <w:r w:rsidRPr="000B5BDC">
        <w:rPr>
          <w:rFonts w:hint="cs"/>
          <w:rtl/>
        </w:rPr>
        <w:t xml:space="preserve"> לבין עבירות תעבורה ואת המקרים </w:t>
      </w:r>
      <w:r w:rsidRPr="000B5BDC">
        <w:rPr>
          <w:rFonts w:hint="cs"/>
          <w:u w:val="single"/>
          <w:rtl/>
        </w:rPr>
        <w:t xml:space="preserve">החריגים </w:t>
      </w:r>
      <w:r w:rsidRPr="000B5BDC">
        <w:rPr>
          <w:rFonts w:hint="cs"/>
          <w:rtl/>
        </w:rPr>
        <w:t xml:space="preserve">בהם על אף המעבר למישור </w:t>
      </w:r>
      <w:proofErr w:type="spellStart"/>
      <w:r w:rsidRPr="000B5BDC">
        <w:rPr>
          <w:rFonts w:hint="cs"/>
          <w:rtl/>
        </w:rPr>
        <w:t>המינהלי</w:t>
      </w:r>
      <w:proofErr w:type="spellEnd"/>
      <w:r w:rsidRPr="000B5BDC">
        <w:rPr>
          <w:rFonts w:hint="cs"/>
          <w:rtl/>
        </w:rPr>
        <w:t xml:space="preserve">, תהא הצדקה להגיש אישום. במסגרת ההסדר החקיקתי, עלה צורך לתת מענה גם לאותם מקרים חריגים בהם נוכח חומרת המעשים המיוחסים לאדם יש הצדקה לנקוט בהליך הפלילי. עם זאת, ונוכח התכליות העומדות בבסיס ההסדר המוצע, הכוונה היא לשמור אפשרות זו לנסיבות חריגות ביותר. על מנת לאפשר את הצורך בגמישות ומתן מענה למקרים חריגים מחד גיסא, ונוכח הרצון לצמצם למינימום המוצדק את המקרים בהם יוגש אישום בגין מעשה שנכלל בתוספת </w:t>
      </w:r>
      <w:r w:rsidR="00564B49">
        <w:rPr>
          <w:rFonts w:hint="cs"/>
          <w:rtl/>
        </w:rPr>
        <w:t>השנייה</w:t>
      </w:r>
      <w:r w:rsidRPr="000B5BDC">
        <w:rPr>
          <w:rFonts w:hint="cs"/>
          <w:rtl/>
        </w:rPr>
        <w:t xml:space="preserve">, מאידך גיסא </w:t>
      </w:r>
      <w:r w:rsidRPr="000B5BDC">
        <w:rPr>
          <w:rtl/>
        </w:rPr>
        <w:t>–</w:t>
      </w:r>
      <w:r w:rsidRPr="000B5BDC">
        <w:rPr>
          <w:rFonts w:hint="cs"/>
          <w:rtl/>
        </w:rPr>
        <w:t xml:space="preserve"> מוצע כי "נסיבות מחמירות" יקבעו על-ידי ראש מחלקת תנועה של משטרת ישראל, בהסכמת שר המשפטים ושר התחבורה</w:t>
      </w:r>
      <w:r w:rsidR="00187428">
        <w:rPr>
          <w:rFonts w:hint="cs"/>
          <w:rtl/>
        </w:rPr>
        <w:t xml:space="preserve"> והבטיחות בדרכים</w:t>
      </w:r>
      <w:r w:rsidRPr="000B5BDC">
        <w:rPr>
          <w:rFonts w:hint="cs"/>
          <w:rtl/>
        </w:rPr>
        <w:t xml:space="preserve">. יצוין, כי הוראה זו מבוססת על סעיף 29 לפקודת התעבורה (הוראות דומות קבועות כיום גם בסעיף 228(ג) לחוק סדר הדין הפלילי ובסעיף 15 לחוק העבירות </w:t>
      </w:r>
      <w:proofErr w:type="spellStart"/>
      <w:r w:rsidRPr="000B5BDC">
        <w:rPr>
          <w:rFonts w:hint="cs"/>
          <w:rtl/>
        </w:rPr>
        <w:t>המינהליות</w:t>
      </w:r>
      <w:proofErr w:type="spellEnd"/>
      <w:r w:rsidRPr="000B5BDC">
        <w:rPr>
          <w:rFonts w:hint="cs"/>
          <w:rtl/>
        </w:rPr>
        <w:t xml:space="preserve">). כאמור בסעיף </w:t>
      </w:r>
      <w:r w:rsidR="00511DF3">
        <w:rPr>
          <w:rFonts w:hint="cs"/>
          <w:rtl/>
        </w:rPr>
        <w:t>44</w:t>
      </w:r>
      <w:r w:rsidR="00564B49">
        <w:rPr>
          <w:rFonts w:hint="cs"/>
          <w:rtl/>
        </w:rPr>
        <w:t>(ב)</w:t>
      </w:r>
      <w:r w:rsidRPr="000B5BDC">
        <w:rPr>
          <w:rFonts w:hint="cs"/>
          <w:rtl/>
        </w:rPr>
        <w:t xml:space="preserve"> בתקופת המעבר מוצע, כי הוראות שנקבעו בהתאם לסעיף 29 לפקודת התעבורה יעמדו בתוקפן גם לעניין </w:t>
      </w:r>
      <w:r w:rsidR="00564B49">
        <w:rPr>
          <w:rFonts w:hint="cs"/>
          <w:rtl/>
        </w:rPr>
        <w:t>ה</w:t>
      </w:r>
      <w:r w:rsidRPr="000B5BDC">
        <w:rPr>
          <w:rFonts w:hint="cs"/>
          <w:rtl/>
        </w:rPr>
        <w:t xml:space="preserve">חוק </w:t>
      </w:r>
      <w:r w:rsidR="00564B49">
        <w:rPr>
          <w:rFonts w:hint="cs"/>
          <w:rtl/>
        </w:rPr>
        <w:t>המוצע</w:t>
      </w:r>
      <w:r w:rsidRPr="000B5BDC">
        <w:rPr>
          <w:rFonts w:hint="cs"/>
          <w:rtl/>
        </w:rPr>
        <w:t xml:space="preserve"> עד</w:t>
      </w:r>
      <w:r>
        <w:rPr>
          <w:rFonts w:hint="cs"/>
          <w:rtl/>
        </w:rPr>
        <w:t xml:space="preserve"> לקביעת הוראות חלופיות.</w:t>
      </w:r>
    </w:p>
    <w:p w:rsidR="00AB3999" w:rsidRPr="00511DF3" w:rsidRDefault="00AB3999" w:rsidP="00C61F7F">
      <w:pPr>
        <w:pStyle w:val="Hesber"/>
        <w:rPr>
          <w:b/>
          <w:bCs/>
          <w:rtl/>
        </w:rPr>
      </w:pPr>
      <w:r>
        <w:rPr>
          <w:rFonts w:hint="cs"/>
          <w:b/>
          <w:bCs/>
          <w:rtl/>
        </w:rPr>
        <w:t xml:space="preserve">סעיף קטן (ד) </w:t>
      </w:r>
      <w:r>
        <w:rPr>
          <w:rFonts w:hint="cs"/>
          <w:rtl/>
        </w:rPr>
        <w:t xml:space="preserve">מציע </w:t>
      </w:r>
      <w:r w:rsidRPr="00C61F7F">
        <w:rPr>
          <w:rFonts w:hint="cs"/>
          <w:rtl/>
        </w:rPr>
        <w:t>מקרים</w:t>
      </w:r>
      <w:r>
        <w:rPr>
          <w:rFonts w:hint="cs"/>
          <w:rtl/>
        </w:rPr>
        <w:t xml:space="preserve"> אשר מלכתחילה לא ייכנסו לגדרי ההגדרה של הפרת תעבורה, ובהתאם לא תימסר בגינם הודעת תשלום. הוראת סעיף זה מבוסס על סעיף 2 לצו עבירות קנס.</w:t>
      </w:r>
    </w:p>
    <w:p w:rsidR="00564B49" w:rsidRPr="00564B49" w:rsidRDefault="00564B49" w:rsidP="00564B49">
      <w:pPr>
        <w:pStyle w:val="Hesber"/>
        <w:rPr>
          <w:rtl/>
        </w:rPr>
      </w:pPr>
      <w:r w:rsidRPr="00511DF3">
        <w:rPr>
          <w:rFonts w:hint="eastAsia"/>
          <w:b/>
          <w:bCs/>
          <w:rtl/>
        </w:rPr>
        <w:t>סעיף</w:t>
      </w:r>
      <w:r w:rsidRPr="00511DF3">
        <w:rPr>
          <w:b/>
          <w:bCs/>
          <w:rtl/>
        </w:rPr>
        <w:t xml:space="preserve"> </w:t>
      </w:r>
      <w:r w:rsidRPr="00511DF3">
        <w:rPr>
          <w:rFonts w:hint="eastAsia"/>
          <w:b/>
          <w:bCs/>
          <w:rtl/>
        </w:rPr>
        <w:t>קטן</w:t>
      </w:r>
      <w:r w:rsidRPr="00511DF3">
        <w:rPr>
          <w:b/>
          <w:bCs/>
          <w:rtl/>
        </w:rPr>
        <w:t xml:space="preserve"> (ה)</w:t>
      </w:r>
      <w:r>
        <w:rPr>
          <w:rFonts w:hint="cs"/>
          <w:rtl/>
        </w:rPr>
        <w:t xml:space="preserve"> נועד לשמר את שיקול דעת התביעה להגיש במקרים המתאימים כתב אישום, חלף מתן הודעת תשלום קנס </w:t>
      </w:r>
      <w:proofErr w:type="spellStart"/>
      <w:r>
        <w:rPr>
          <w:rFonts w:hint="cs"/>
          <w:rtl/>
        </w:rPr>
        <w:t>מינהלי</w:t>
      </w:r>
      <w:proofErr w:type="spellEnd"/>
      <w:r>
        <w:rPr>
          <w:rFonts w:hint="cs"/>
          <w:rtl/>
        </w:rPr>
        <w:t xml:space="preserve">, וזאת מתוך הבנה כי לא ניתן בגדר חקיקה ראשית </w:t>
      </w:r>
      <w:proofErr w:type="spellStart"/>
      <w:r>
        <w:rPr>
          <w:rFonts w:hint="cs"/>
          <w:rtl/>
        </w:rPr>
        <w:t>ליתן</w:t>
      </w:r>
      <w:proofErr w:type="spellEnd"/>
      <w:r>
        <w:rPr>
          <w:rFonts w:hint="cs"/>
          <w:rtl/>
        </w:rPr>
        <w:t xml:space="preserve"> מענה לכל המקרים החריגים האפשריים. סעיף זה מבוסס על סעיף 228(ד) לחוק סדר הדין הפלילי.</w:t>
      </w:r>
    </w:p>
    <w:p w:rsidR="00AB3999" w:rsidRPr="005150B3" w:rsidRDefault="00AB3999" w:rsidP="00AB3999">
      <w:pPr>
        <w:pStyle w:val="af4"/>
        <w:rPr>
          <w:color w:val="FF0000"/>
        </w:rPr>
      </w:pPr>
    </w:p>
    <w:p w:rsidR="00AB3999" w:rsidRDefault="00AB3999" w:rsidP="00980D6D">
      <w:pPr>
        <w:pStyle w:val="Hesber1st"/>
        <w:tabs>
          <w:tab w:val="clear" w:pos="680"/>
        </w:tabs>
        <w:rPr>
          <w:rtl/>
        </w:rPr>
      </w:pPr>
      <w:r>
        <w:rPr>
          <w:rFonts w:hint="cs"/>
          <w:b/>
          <w:bCs/>
          <w:rtl/>
        </w:rPr>
        <w:t xml:space="preserve">סעיף 3 </w:t>
      </w:r>
      <w:r w:rsidRPr="00511DF3">
        <w:rPr>
          <w:rtl/>
        </w:rPr>
        <w:t>–</w:t>
      </w:r>
      <w:r>
        <w:rPr>
          <w:rFonts w:hint="cs"/>
          <w:b/>
          <w:bCs/>
          <w:rtl/>
        </w:rPr>
        <w:t xml:space="preserve"> </w:t>
      </w:r>
      <w:r>
        <w:rPr>
          <w:rFonts w:hint="cs"/>
          <w:rtl/>
        </w:rPr>
        <w:t xml:space="preserve">סעיף 3 </w:t>
      </w:r>
      <w:r w:rsidRPr="00564B49">
        <w:rPr>
          <w:rFonts w:hint="cs"/>
          <w:rtl/>
        </w:rPr>
        <w:t>מציע</w:t>
      </w:r>
      <w:r>
        <w:rPr>
          <w:rFonts w:hint="cs"/>
          <w:rtl/>
        </w:rPr>
        <w:t xml:space="preserve"> הוראות לעניין מסירת הודעה על החלטה בדבר ביצוע הפרת תעבורה.</w:t>
      </w:r>
    </w:p>
    <w:p w:rsidR="00AB3999" w:rsidRPr="00216C54" w:rsidRDefault="00AB3999" w:rsidP="00564B49">
      <w:pPr>
        <w:pStyle w:val="Hesber"/>
        <w:rPr>
          <w:sz w:val="26"/>
        </w:rPr>
      </w:pPr>
      <w:r w:rsidRPr="00216C54">
        <w:rPr>
          <w:rFonts w:hint="cs"/>
          <w:b/>
          <w:bCs/>
          <w:rtl/>
        </w:rPr>
        <w:t xml:space="preserve">סעיף קטן (ב) </w:t>
      </w:r>
      <w:r w:rsidRPr="00216C54">
        <w:rPr>
          <w:b/>
          <w:bCs/>
          <w:rtl/>
        </w:rPr>
        <w:t>–</w:t>
      </w:r>
      <w:r w:rsidRPr="00216C54">
        <w:rPr>
          <w:rFonts w:hint="cs"/>
          <w:b/>
          <w:bCs/>
          <w:rtl/>
        </w:rPr>
        <w:t xml:space="preserve"> </w:t>
      </w:r>
      <w:r w:rsidRPr="00216C54">
        <w:rPr>
          <w:rFonts w:hint="cs"/>
          <w:rtl/>
        </w:rPr>
        <w:t xml:space="preserve">הוראה זו מוצעת בהתאם להמלצות הוועדה המייעצת לשר המשפטים לחוק הנוער (שפיטה, ענישה ודרכי טיפול), בעניין חקירת קטינים בראשות שופטת בית המשפט המחוזי (בדימוס), תחיה שפירא (ועדת שפירא), ובהתאם להוראות תזכיר חוק </w:t>
      </w:r>
      <w:r w:rsidRPr="00216C54">
        <w:rPr>
          <w:rtl/>
        </w:rPr>
        <w:t>הנוער (שפיטה, ענישה ודרכי טיפול) (תיקון) (חקירת קטינים), התשע"ו-2016, שהוכן במשרד המשפטי</w:t>
      </w:r>
      <w:r w:rsidRPr="00216C54">
        <w:rPr>
          <w:rFonts w:hint="cs"/>
          <w:rtl/>
        </w:rPr>
        <w:t xml:space="preserve">ם, ופורסם להערות ציבור במאי 2016. </w:t>
      </w:r>
      <w:r w:rsidRPr="00216C54">
        <w:rPr>
          <w:sz w:val="26"/>
          <w:rtl/>
        </w:rPr>
        <w:t xml:space="preserve">לפי המלצות הוועדה, יש </w:t>
      </w:r>
      <w:r w:rsidRPr="00C61F7F">
        <w:rPr>
          <w:rtl/>
        </w:rPr>
        <w:t>לשלוח</w:t>
      </w:r>
      <w:r w:rsidRPr="00216C54">
        <w:rPr>
          <w:sz w:val="26"/>
          <w:rtl/>
        </w:rPr>
        <w:t xml:space="preserve"> לאחד מהורי הקטין העתק מהודעת תשלום הקנס על מנת ליידעם על כך, הן בשל עקרון השמירה על מעורבות ההורים בחיי ילדיהם הקטינים</w:t>
      </w:r>
      <w:r>
        <w:rPr>
          <w:rFonts w:hint="cs"/>
          <w:sz w:val="26"/>
          <w:rtl/>
        </w:rPr>
        <w:t>,</w:t>
      </w:r>
      <w:r w:rsidRPr="00216C54">
        <w:rPr>
          <w:sz w:val="26"/>
          <w:rtl/>
        </w:rPr>
        <w:t xml:space="preserve"> והן בשל העובדה כי במרבית המקרים ההורה הוא אשר נדרש דרך כלל לשלם את הקנסות, כשלעתים נודע לו על הטלת הקנס רק בשלב האכיפה ולאחר צבירת ריביות ופיגורים. אולם לא יהיה באי</w:t>
      </w:r>
      <w:r>
        <w:rPr>
          <w:rFonts w:hint="cs"/>
          <w:sz w:val="26"/>
          <w:rtl/>
        </w:rPr>
        <w:t>-</w:t>
      </w:r>
      <w:r w:rsidRPr="00216C54">
        <w:rPr>
          <w:sz w:val="26"/>
          <w:rtl/>
        </w:rPr>
        <w:t xml:space="preserve">המצאת ההעתק להורה כדי לפגוע בחוקיות הודעת תשלום הקנס לקטין. </w:t>
      </w:r>
    </w:p>
    <w:p w:rsidR="00564B49" w:rsidRPr="006A3965" w:rsidRDefault="00AB3999" w:rsidP="006A3965">
      <w:pPr>
        <w:pStyle w:val="Hesber"/>
      </w:pPr>
      <w:r w:rsidRPr="00564B49">
        <w:rPr>
          <w:rFonts w:hint="cs"/>
          <w:b/>
          <w:bCs/>
          <w:rtl/>
        </w:rPr>
        <w:t>סעיף קטן (ג)</w:t>
      </w:r>
      <w:r w:rsidRPr="00564B49">
        <w:rPr>
          <w:rFonts w:hint="cs"/>
          <w:rtl/>
        </w:rPr>
        <w:t xml:space="preserve"> </w:t>
      </w:r>
      <w:r w:rsidRPr="00564B49">
        <w:rPr>
          <w:rtl/>
        </w:rPr>
        <w:t>–</w:t>
      </w:r>
      <w:r w:rsidRPr="00564B49">
        <w:rPr>
          <w:rFonts w:hint="cs"/>
          <w:rtl/>
        </w:rPr>
        <w:t xml:space="preserve"> סעיף קטן זה מפרט את פרטי המידע שמוצע לכלול בהודעת תשלום, וזאת בדומה לפרטים הנדרשים במסגרת הודעה לפי סעיף 8 לחוק עבירות </w:t>
      </w:r>
      <w:proofErr w:type="spellStart"/>
      <w:r w:rsidRPr="00564B49">
        <w:rPr>
          <w:rFonts w:hint="cs"/>
          <w:rtl/>
        </w:rPr>
        <w:t>מינהליות</w:t>
      </w:r>
      <w:proofErr w:type="spellEnd"/>
      <w:r w:rsidRPr="00564B49">
        <w:rPr>
          <w:rFonts w:hint="cs"/>
          <w:rtl/>
        </w:rPr>
        <w:t>. יצוין, כי כחלק מפרטים אלו, מוצע לפרט את מספר הנקודות שיירשמו לחובתו של המפר, ככל שרלוונטי. בהקשר זה, מוצע לתקן את סעיף 69א לפקודת התעבורה, כך שהשיטה לרישום נקודות תחול גם על הפרות תעבורה</w:t>
      </w:r>
      <w:r w:rsidR="00564B49" w:rsidRPr="006A3965">
        <w:rPr>
          <w:rFonts w:hint="cs"/>
          <w:rtl/>
        </w:rPr>
        <w:t xml:space="preserve"> (סעיף 39(3) לחוק המוצע)</w:t>
      </w:r>
      <w:r w:rsidRPr="006A3965">
        <w:rPr>
          <w:rFonts w:hint="cs"/>
          <w:rtl/>
        </w:rPr>
        <w:t xml:space="preserve">. </w:t>
      </w:r>
      <w:r w:rsidR="00564B49" w:rsidRPr="006A3965">
        <w:rPr>
          <w:rFonts w:hint="cs"/>
          <w:rtl/>
        </w:rPr>
        <w:t xml:space="preserve">עוד מוצע, לצרף להודעת התשלום עצמה </w:t>
      </w:r>
      <w:r w:rsidR="006A3965">
        <w:rPr>
          <w:rFonts w:hint="cs"/>
          <w:rtl/>
        </w:rPr>
        <w:t>צילומים</w:t>
      </w:r>
      <w:r w:rsidR="00564B49" w:rsidRPr="006A3965">
        <w:rPr>
          <w:rtl/>
        </w:rPr>
        <w:t xml:space="preserve"> המעיד</w:t>
      </w:r>
      <w:r w:rsidR="006A3965">
        <w:rPr>
          <w:rFonts w:hint="cs"/>
          <w:rtl/>
        </w:rPr>
        <w:t>ים</w:t>
      </w:r>
      <w:r w:rsidR="00564B49" w:rsidRPr="006A3965">
        <w:rPr>
          <w:rtl/>
        </w:rPr>
        <w:t xml:space="preserve"> על ביצוע הפרת התעבורה, </w:t>
      </w:r>
      <w:r w:rsidR="006A3965">
        <w:rPr>
          <w:rFonts w:hint="cs"/>
          <w:rtl/>
        </w:rPr>
        <w:t>ככל שקיימים</w:t>
      </w:r>
      <w:r w:rsidR="00564B49" w:rsidRPr="006A3965">
        <w:rPr>
          <w:rtl/>
        </w:rPr>
        <w:t xml:space="preserve">, או </w:t>
      </w:r>
      <w:r w:rsidR="006A3965">
        <w:rPr>
          <w:rFonts w:hint="cs"/>
          <w:rtl/>
        </w:rPr>
        <w:t xml:space="preserve">לפרט במסגרת הודעת התשלום את </w:t>
      </w:r>
      <w:r w:rsidR="00564B49" w:rsidRPr="006A3965">
        <w:rPr>
          <w:rtl/>
        </w:rPr>
        <w:t>הדרכים לקבלת צילום כאמור, כ</w:t>
      </w:r>
      <w:r w:rsidR="006A3965">
        <w:rPr>
          <w:rtl/>
        </w:rPr>
        <w:t>כל שלא ניתן לצרפו להודעת התשלום</w:t>
      </w:r>
      <w:r w:rsidR="006A3965">
        <w:rPr>
          <w:rFonts w:hint="cs"/>
          <w:rtl/>
        </w:rPr>
        <w:t>. יצוין, שחובה זו חלה על צילומים</w:t>
      </w:r>
      <w:r w:rsidR="00564B49" w:rsidRPr="006A3965">
        <w:rPr>
          <w:rtl/>
        </w:rPr>
        <w:t xml:space="preserve"> </w:t>
      </w:r>
      <w:r w:rsidR="006A3965">
        <w:rPr>
          <w:rFonts w:hint="cs"/>
          <w:rtl/>
        </w:rPr>
        <w:t>מ</w:t>
      </w:r>
      <w:r w:rsidR="00564B49" w:rsidRPr="006A3965">
        <w:rPr>
          <w:rtl/>
        </w:rPr>
        <w:t>מכשיר</w:t>
      </w:r>
      <w:r w:rsidR="006A3965">
        <w:rPr>
          <w:rFonts w:hint="cs"/>
          <w:rtl/>
        </w:rPr>
        <w:t>י</w:t>
      </w:r>
      <w:r w:rsidR="006A3965">
        <w:rPr>
          <w:rtl/>
        </w:rPr>
        <w:t xml:space="preserve"> אכיפה</w:t>
      </w:r>
      <w:r w:rsidR="006A3965">
        <w:rPr>
          <w:rFonts w:hint="cs"/>
          <w:rtl/>
        </w:rPr>
        <w:t xml:space="preserve"> בלבד,</w:t>
      </w:r>
      <w:r w:rsidR="00564B49" w:rsidRPr="006A3965">
        <w:rPr>
          <w:rtl/>
        </w:rPr>
        <w:t xml:space="preserve"> המשמש</w:t>
      </w:r>
      <w:r w:rsidR="006A3965">
        <w:rPr>
          <w:rFonts w:hint="cs"/>
          <w:rtl/>
        </w:rPr>
        <w:t>ים</w:t>
      </w:r>
      <w:r w:rsidR="00564B49" w:rsidRPr="006A3965">
        <w:rPr>
          <w:rtl/>
        </w:rPr>
        <w:t xml:space="preserve"> למטר</w:t>
      </w:r>
      <w:r w:rsidR="006A3965">
        <w:rPr>
          <w:rFonts w:hint="cs"/>
          <w:rtl/>
        </w:rPr>
        <w:t>ו</w:t>
      </w:r>
      <w:r w:rsidR="00564B49" w:rsidRPr="006A3965">
        <w:rPr>
          <w:rtl/>
        </w:rPr>
        <w:t xml:space="preserve">ת תיעוד של ביצוע עבירות והפרות תעבורה </w:t>
      </w:r>
      <w:r w:rsidR="006A3965">
        <w:rPr>
          <w:rFonts w:hint="cs"/>
          <w:rtl/>
        </w:rPr>
        <w:t>בלבד, ולא על צילומים אחרים המשמשים את המשטרה לצרכיה.</w:t>
      </w:r>
    </w:p>
    <w:p w:rsidR="00AB3999" w:rsidRDefault="00AB3999" w:rsidP="00AB3999">
      <w:pPr>
        <w:pStyle w:val="Hesber"/>
        <w:tabs>
          <w:tab w:val="left" w:pos="424"/>
        </w:tabs>
        <w:ind w:firstLine="0"/>
        <w:rPr>
          <w:rtl/>
        </w:rPr>
      </w:pPr>
    </w:p>
    <w:p w:rsidR="006A3965" w:rsidRDefault="00AB3999" w:rsidP="00D166E0">
      <w:pPr>
        <w:pStyle w:val="Hesber1st"/>
        <w:tabs>
          <w:tab w:val="clear" w:pos="680"/>
        </w:tabs>
        <w:rPr>
          <w:rtl/>
        </w:rPr>
      </w:pPr>
      <w:r w:rsidRPr="006A3965">
        <w:rPr>
          <w:rFonts w:hint="eastAsia"/>
          <w:b/>
          <w:bCs/>
          <w:rtl/>
        </w:rPr>
        <w:t>סעיף</w:t>
      </w:r>
      <w:r w:rsidRPr="006A3965">
        <w:rPr>
          <w:b/>
          <w:bCs/>
          <w:rtl/>
        </w:rPr>
        <w:t xml:space="preserve"> 4</w:t>
      </w:r>
      <w:r w:rsidRPr="00511DF3">
        <w:rPr>
          <w:rtl/>
        </w:rPr>
        <w:t xml:space="preserve"> – </w:t>
      </w:r>
      <w:r w:rsidRPr="006A3965">
        <w:rPr>
          <w:rFonts w:hint="eastAsia"/>
          <w:rtl/>
        </w:rPr>
        <w:t>מוצע</w:t>
      </w:r>
      <w:r w:rsidRPr="006A3965">
        <w:rPr>
          <w:rtl/>
        </w:rPr>
        <w:t xml:space="preserve"> לעגן בחוק את </w:t>
      </w:r>
      <w:r w:rsidR="006A3965">
        <w:rPr>
          <w:rFonts w:hint="cs"/>
          <w:rtl/>
        </w:rPr>
        <w:t xml:space="preserve">דרכי המצאת הודעת התשלום. ההסדר המוצע מבוסס על סעיף 237 לחוק סדר הדין הפלילי, לצד </w:t>
      </w:r>
      <w:r w:rsidR="0099383F">
        <w:rPr>
          <w:rFonts w:hint="cs"/>
          <w:rtl/>
        </w:rPr>
        <w:t>התאמות שנובעות מהוראות פרטניות שחלות כיום ביחס לעבירות תעבורה ובהן: חזקת ההמצאה הקבועה</w:t>
      </w:r>
      <w:r w:rsidR="0099383F" w:rsidRPr="0099383F">
        <w:rPr>
          <w:rFonts w:hint="cs"/>
          <w:rtl/>
        </w:rPr>
        <w:t xml:space="preserve"> </w:t>
      </w:r>
      <w:r w:rsidR="0099383F" w:rsidRPr="00933854">
        <w:rPr>
          <w:rFonts w:hint="cs"/>
          <w:rtl/>
        </w:rPr>
        <w:t>בתקנה 44א לתקנות סדר הדין הפלילי, התשל"ד-1974</w:t>
      </w:r>
      <w:r w:rsidR="0099383F" w:rsidRPr="00933854">
        <w:rPr>
          <w:rStyle w:val="a9"/>
          <w:rtl/>
        </w:rPr>
        <w:footnoteReference w:id="29"/>
      </w:r>
      <w:r w:rsidR="0099383F">
        <w:rPr>
          <w:rFonts w:hint="cs"/>
          <w:rtl/>
        </w:rPr>
        <w:t xml:space="preserve"> (שאינה דורשת אישור מסירה) ומוצע לעגנה במסגרת סעיף קטן (ב), והאפשרות להמצאה על דרך הצמדה, שקבועה כיום בתקנה 41 לתקנות האמורות).</w:t>
      </w:r>
      <w:r w:rsidRPr="006A3965">
        <w:rPr>
          <w:rtl/>
        </w:rPr>
        <w:t xml:space="preserve"> </w:t>
      </w:r>
    </w:p>
    <w:p w:rsidR="00AB3999" w:rsidRPr="006A3965" w:rsidRDefault="00AB3999" w:rsidP="00511DF3">
      <w:pPr>
        <w:pStyle w:val="Hesber"/>
        <w:rPr>
          <w:rtl/>
        </w:rPr>
      </w:pPr>
      <w:r w:rsidRPr="006A3965">
        <w:rPr>
          <w:rFonts w:hint="eastAsia"/>
          <w:rtl/>
        </w:rPr>
        <w:t>יצוין</w:t>
      </w:r>
      <w:r w:rsidRPr="006A3965">
        <w:rPr>
          <w:rtl/>
        </w:rPr>
        <w:t xml:space="preserve">, </w:t>
      </w:r>
      <w:r w:rsidRPr="006A3965">
        <w:rPr>
          <w:rFonts w:hint="eastAsia"/>
          <w:rtl/>
        </w:rPr>
        <w:t>כי</w:t>
      </w:r>
      <w:r w:rsidRPr="006A3965">
        <w:rPr>
          <w:rtl/>
        </w:rPr>
        <w:t xml:space="preserve"> </w:t>
      </w:r>
      <w:r w:rsidRPr="006A3965">
        <w:rPr>
          <w:rFonts w:hint="eastAsia"/>
          <w:rtl/>
        </w:rPr>
        <w:t>מען</w:t>
      </w:r>
      <w:r w:rsidRPr="006A3965">
        <w:rPr>
          <w:rtl/>
        </w:rPr>
        <w:t xml:space="preserve"> </w:t>
      </w:r>
      <w:r w:rsidRPr="006A3965">
        <w:rPr>
          <w:rFonts w:hint="eastAsia"/>
          <w:rtl/>
        </w:rPr>
        <w:t>ההמצאה</w:t>
      </w:r>
      <w:r w:rsidRPr="006A3965">
        <w:rPr>
          <w:rtl/>
        </w:rPr>
        <w:t xml:space="preserve"> </w:t>
      </w:r>
      <w:r w:rsidRPr="006A3965">
        <w:rPr>
          <w:rFonts w:hint="eastAsia"/>
          <w:rtl/>
        </w:rPr>
        <w:t>מתייחס</w:t>
      </w:r>
      <w:r w:rsidRPr="006A3965">
        <w:rPr>
          <w:rtl/>
        </w:rPr>
        <w:t xml:space="preserve"> </w:t>
      </w:r>
      <w:r w:rsidRPr="006A3965">
        <w:rPr>
          <w:rFonts w:hint="eastAsia"/>
          <w:rtl/>
        </w:rPr>
        <w:t>להמצאה</w:t>
      </w:r>
      <w:r w:rsidRPr="006A3965">
        <w:rPr>
          <w:rtl/>
        </w:rPr>
        <w:t xml:space="preserve"> </w:t>
      </w:r>
      <w:r w:rsidRPr="006A3965">
        <w:rPr>
          <w:rFonts w:hint="eastAsia"/>
          <w:rtl/>
        </w:rPr>
        <w:t>הראשונית</w:t>
      </w:r>
      <w:r w:rsidRPr="006A3965">
        <w:rPr>
          <w:rtl/>
        </w:rPr>
        <w:t xml:space="preserve"> </w:t>
      </w:r>
      <w:r w:rsidRPr="006A3965">
        <w:rPr>
          <w:rFonts w:hint="eastAsia"/>
          <w:rtl/>
        </w:rPr>
        <w:t>של</w:t>
      </w:r>
      <w:r w:rsidRPr="006A3965">
        <w:rPr>
          <w:rtl/>
        </w:rPr>
        <w:t xml:space="preserve"> </w:t>
      </w:r>
      <w:r w:rsidRPr="006A3965">
        <w:rPr>
          <w:rFonts w:hint="eastAsia"/>
          <w:rtl/>
        </w:rPr>
        <w:t>הודעת</w:t>
      </w:r>
      <w:r w:rsidRPr="006A3965">
        <w:rPr>
          <w:rtl/>
        </w:rPr>
        <w:t xml:space="preserve"> </w:t>
      </w:r>
      <w:r w:rsidRPr="006A3965">
        <w:rPr>
          <w:rFonts w:hint="eastAsia"/>
          <w:rtl/>
        </w:rPr>
        <w:t>התשלום</w:t>
      </w:r>
      <w:r w:rsidRPr="006A3965">
        <w:rPr>
          <w:rtl/>
        </w:rPr>
        <w:t xml:space="preserve">. </w:t>
      </w:r>
      <w:r w:rsidRPr="006A3965">
        <w:rPr>
          <w:rFonts w:hint="eastAsia"/>
          <w:rtl/>
        </w:rPr>
        <w:t>ככל</w:t>
      </w:r>
      <w:r w:rsidRPr="006A3965">
        <w:rPr>
          <w:rtl/>
        </w:rPr>
        <w:t xml:space="preserve"> </w:t>
      </w:r>
      <w:r w:rsidRPr="006A3965">
        <w:rPr>
          <w:rFonts w:hint="eastAsia"/>
          <w:rtl/>
        </w:rPr>
        <w:t>שתיסתר</w:t>
      </w:r>
      <w:r w:rsidRPr="006A3965">
        <w:rPr>
          <w:rtl/>
        </w:rPr>
        <w:t xml:space="preserve"> </w:t>
      </w:r>
      <w:r w:rsidRPr="006A3965">
        <w:rPr>
          <w:rFonts w:hint="eastAsia"/>
          <w:rtl/>
        </w:rPr>
        <w:t>החזקה</w:t>
      </w:r>
      <w:r w:rsidRPr="006A3965">
        <w:rPr>
          <w:rtl/>
        </w:rPr>
        <w:t xml:space="preserve"> </w:t>
      </w:r>
      <w:r w:rsidRPr="006A3965">
        <w:rPr>
          <w:rFonts w:hint="eastAsia"/>
          <w:rtl/>
        </w:rPr>
        <w:t>הקבועה</w:t>
      </w:r>
      <w:r w:rsidRPr="006A3965">
        <w:rPr>
          <w:rtl/>
        </w:rPr>
        <w:t xml:space="preserve"> </w:t>
      </w:r>
      <w:r w:rsidRPr="006A3965">
        <w:rPr>
          <w:rFonts w:hint="eastAsia"/>
          <w:rtl/>
        </w:rPr>
        <w:t>בסעיף</w:t>
      </w:r>
      <w:r w:rsidRPr="006A3965">
        <w:rPr>
          <w:rtl/>
        </w:rPr>
        <w:t xml:space="preserve"> 27ב </w:t>
      </w:r>
      <w:r w:rsidRPr="006A3965">
        <w:rPr>
          <w:rFonts w:hint="eastAsia"/>
          <w:rtl/>
        </w:rPr>
        <w:t>לפקודת</w:t>
      </w:r>
      <w:r w:rsidRPr="006A3965">
        <w:rPr>
          <w:rtl/>
        </w:rPr>
        <w:t xml:space="preserve"> </w:t>
      </w:r>
      <w:r w:rsidRPr="006A3965">
        <w:rPr>
          <w:rFonts w:hint="eastAsia"/>
          <w:rtl/>
        </w:rPr>
        <w:t>התעבורה</w:t>
      </w:r>
      <w:r w:rsidRPr="006A3965">
        <w:rPr>
          <w:rtl/>
        </w:rPr>
        <w:t xml:space="preserve"> (אשר </w:t>
      </w:r>
      <w:r w:rsidRPr="006A3965">
        <w:rPr>
          <w:rFonts w:hint="eastAsia"/>
          <w:rtl/>
        </w:rPr>
        <w:t>מוצע</w:t>
      </w:r>
      <w:r w:rsidRPr="006A3965">
        <w:rPr>
          <w:rtl/>
        </w:rPr>
        <w:t xml:space="preserve"> </w:t>
      </w:r>
      <w:r w:rsidRPr="006A3965">
        <w:rPr>
          <w:rFonts w:hint="eastAsia"/>
          <w:rtl/>
        </w:rPr>
        <w:t>להחיל</w:t>
      </w:r>
      <w:r w:rsidRPr="006A3965">
        <w:rPr>
          <w:rtl/>
        </w:rPr>
        <w:t xml:space="preserve"> </w:t>
      </w:r>
      <w:r w:rsidRPr="006A3965">
        <w:rPr>
          <w:rFonts w:hint="eastAsia"/>
          <w:rtl/>
        </w:rPr>
        <w:t>בענייננו</w:t>
      </w:r>
      <w:r w:rsidRPr="006A3965">
        <w:rPr>
          <w:rtl/>
        </w:rPr>
        <w:t xml:space="preserve"> </w:t>
      </w:r>
      <w:r w:rsidRPr="006A3965">
        <w:rPr>
          <w:rFonts w:hint="eastAsia"/>
          <w:rtl/>
        </w:rPr>
        <w:t>בהתאם</w:t>
      </w:r>
      <w:r w:rsidRPr="006A3965">
        <w:rPr>
          <w:rtl/>
        </w:rPr>
        <w:t xml:space="preserve"> </w:t>
      </w:r>
      <w:r w:rsidRPr="006A3965">
        <w:rPr>
          <w:rFonts w:hint="eastAsia"/>
          <w:rtl/>
        </w:rPr>
        <w:t>לסעיף</w:t>
      </w:r>
      <w:r w:rsidRPr="006A3965">
        <w:rPr>
          <w:rtl/>
        </w:rPr>
        <w:t xml:space="preserve"> 7) </w:t>
      </w:r>
      <w:r w:rsidRPr="006A3965">
        <w:rPr>
          <w:rFonts w:hint="eastAsia"/>
          <w:rtl/>
        </w:rPr>
        <w:t>ולפיה</w:t>
      </w:r>
      <w:r w:rsidRPr="006A3965">
        <w:rPr>
          <w:rtl/>
        </w:rPr>
        <w:t xml:space="preserve"> </w:t>
      </w:r>
      <w:r w:rsidRPr="006A3965">
        <w:rPr>
          <w:rFonts w:hint="eastAsia"/>
          <w:rtl/>
        </w:rPr>
        <w:t>בעל</w:t>
      </w:r>
      <w:r w:rsidRPr="006A3965">
        <w:rPr>
          <w:rtl/>
        </w:rPr>
        <w:t xml:space="preserve"> </w:t>
      </w:r>
      <w:r w:rsidRPr="006A3965">
        <w:rPr>
          <w:rFonts w:hint="eastAsia"/>
          <w:rtl/>
        </w:rPr>
        <w:t>הרכב</w:t>
      </w:r>
      <w:r w:rsidRPr="006A3965">
        <w:rPr>
          <w:rtl/>
        </w:rPr>
        <w:t xml:space="preserve"> </w:t>
      </w:r>
      <w:r w:rsidRPr="006A3965">
        <w:rPr>
          <w:rFonts w:hint="eastAsia"/>
          <w:rtl/>
        </w:rPr>
        <w:t>הוא</w:t>
      </w:r>
      <w:r w:rsidRPr="006A3965">
        <w:rPr>
          <w:rtl/>
        </w:rPr>
        <w:t xml:space="preserve"> </w:t>
      </w:r>
      <w:r w:rsidRPr="006A3965">
        <w:rPr>
          <w:rFonts w:hint="eastAsia"/>
          <w:rtl/>
        </w:rPr>
        <w:t>הנהג</w:t>
      </w:r>
      <w:r w:rsidRPr="006A3965">
        <w:rPr>
          <w:rtl/>
        </w:rPr>
        <w:t xml:space="preserve"> </w:t>
      </w:r>
      <w:r w:rsidRPr="006A3965">
        <w:rPr>
          <w:rFonts w:hint="eastAsia"/>
          <w:rtl/>
        </w:rPr>
        <w:t>ברכב</w:t>
      </w:r>
      <w:r w:rsidRPr="006A3965">
        <w:rPr>
          <w:rtl/>
        </w:rPr>
        <w:t xml:space="preserve">, </w:t>
      </w:r>
      <w:r w:rsidRPr="006A3965">
        <w:rPr>
          <w:rFonts w:hint="eastAsia"/>
          <w:rtl/>
        </w:rPr>
        <w:t>יהיה</w:t>
      </w:r>
      <w:r w:rsidRPr="006A3965">
        <w:rPr>
          <w:rtl/>
        </w:rPr>
        <w:t xml:space="preserve"> </w:t>
      </w:r>
      <w:r w:rsidRPr="006A3965">
        <w:rPr>
          <w:rFonts w:hint="eastAsia"/>
          <w:rtl/>
        </w:rPr>
        <w:t>להמציא</w:t>
      </w:r>
      <w:r w:rsidRPr="006A3965">
        <w:rPr>
          <w:rtl/>
        </w:rPr>
        <w:t xml:space="preserve"> </w:t>
      </w:r>
      <w:r w:rsidRPr="006A3965">
        <w:rPr>
          <w:rFonts w:hint="eastAsia"/>
          <w:rtl/>
        </w:rPr>
        <w:t>את</w:t>
      </w:r>
      <w:r w:rsidRPr="006A3965">
        <w:rPr>
          <w:rtl/>
        </w:rPr>
        <w:t xml:space="preserve"> </w:t>
      </w:r>
      <w:r w:rsidRPr="006A3965">
        <w:rPr>
          <w:rFonts w:hint="eastAsia"/>
          <w:rtl/>
        </w:rPr>
        <w:t>הודעת</w:t>
      </w:r>
      <w:r w:rsidRPr="006A3965">
        <w:rPr>
          <w:rtl/>
        </w:rPr>
        <w:t xml:space="preserve"> </w:t>
      </w:r>
      <w:r w:rsidRPr="006A3965">
        <w:rPr>
          <w:rFonts w:hint="eastAsia"/>
          <w:rtl/>
        </w:rPr>
        <w:t>התשלום</w:t>
      </w:r>
      <w:r w:rsidRPr="006A3965">
        <w:rPr>
          <w:rtl/>
        </w:rPr>
        <w:t xml:space="preserve"> </w:t>
      </w:r>
      <w:r w:rsidRPr="006A3965">
        <w:rPr>
          <w:rFonts w:hint="eastAsia"/>
          <w:rtl/>
        </w:rPr>
        <w:t>למחזיק</w:t>
      </w:r>
      <w:r w:rsidRPr="006A3965">
        <w:rPr>
          <w:rtl/>
        </w:rPr>
        <w:t>.</w:t>
      </w:r>
    </w:p>
    <w:p w:rsidR="00C61F7F" w:rsidRDefault="0099383F" w:rsidP="00511DF3">
      <w:pPr>
        <w:pStyle w:val="Hesber"/>
        <w:rPr>
          <w:rtl/>
        </w:rPr>
      </w:pPr>
      <w:r>
        <w:rPr>
          <w:rFonts w:hint="cs"/>
          <w:rtl/>
        </w:rPr>
        <w:t xml:space="preserve">עוד </w:t>
      </w:r>
      <w:r w:rsidR="006A3965" w:rsidRPr="00933854">
        <w:rPr>
          <w:rFonts w:hint="cs"/>
          <w:rtl/>
        </w:rPr>
        <w:t>יצוין, כי</w:t>
      </w:r>
      <w:r w:rsidR="006A3965">
        <w:rPr>
          <w:rFonts w:hint="cs"/>
          <w:rtl/>
        </w:rPr>
        <w:t xml:space="preserve"> ביום 17.12.2020, פורסם תזכיר חוק ביצוע פעולות באמצעים דיגיטליים, התשפ"א-2020, </w:t>
      </w:r>
      <w:r w:rsidR="006A3965" w:rsidRPr="00933854">
        <w:rPr>
          <w:rFonts w:hint="cs"/>
          <w:rtl/>
        </w:rPr>
        <w:t xml:space="preserve">שנועד </w:t>
      </w:r>
      <w:r w:rsidR="006A3965" w:rsidRPr="0099383F">
        <w:rPr>
          <w:rFonts w:hint="eastAsia"/>
          <w:rtl/>
        </w:rPr>
        <w:t>לקדם</w:t>
      </w:r>
      <w:r w:rsidR="006A3965" w:rsidRPr="00933854">
        <w:rPr>
          <w:rFonts w:hint="cs"/>
          <w:rtl/>
        </w:rPr>
        <w:t xml:space="preserve"> מעבר רוחבי </w:t>
      </w:r>
      <w:r w:rsidR="006A3965">
        <w:rPr>
          <w:rFonts w:hint="cs"/>
          <w:rtl/>
        </w:rPr>
        <w:t xml:space="preserve">לעולם </w:t>
      </w:r>
      <w:proofErr w:type="spellStart"/>
      <w:r w:rsidR="006A3965">
        <w:rPr>
          <w:rFonts w:hint="cs"/>
          <w:rtl/>
        </w:rPr>
        <w:t>הדיגיטל</w:t>
      </w:r>
      <w:proofErr w:type="spellEnd"/>
      <w:r w:rsidR="006A3965">
        <w:rPr>
          <w:rFonts w:hint="cs"/>
          <w:rtl/>
        </w:rPr>
        <w:t>, תוך הסדרה כוללת של ההיבטים הכרוכים בשינוי זה</w:t>
      </w:r>
      <w:r w:rsidR="006A3965" w:rsidRPr="00933854">
        <w:rPr>
          <w:rFonts w:hint="cs"/>
          <w:rtl/>
        </w:rPr>
        <w:t>.</w:t>
      </w:r>
      <w:r w:rsidR="006A3965">
        <w:rPr>
          <w:rFonts w:hint="cs"/>
          <w:rtl/>
        </w:rPr>
        <w:t xml:space="preserve"> במסגרת תזכיר החוק מוצעות</w:t>
      </w:r>
      <w:r w:rsidR="006A3965">
        <w:rPr>
          <w:rtl/>
        </w:rPr>
        <w:t xml:space="preserve"> דרכי המצאה דיגיטליות אשר יקנו ודאות לגוף הציבורי השולח ויהיו שקולות במישור הראייתי להמצאות מסמכים שמתבצעות באמצעות דיוור הפיסי</w:t>
      </w:r>
      <w:r w:rsidR="006A3965">
        <w:rPr>
          <w:rFonts w:hint="cs"/>
          <w:rtl/>
        </w:rPr>
        <w:t xml:space="preserve">. הכוונה הינה ליצור קישור בין שני דברי חקיקה אלו, כך שככל שתזכיר האמור יבשיל לכדי חקיקה לפני תזכיר זה </w:t>
      </w:r>
      <w:r w:rsidR="006A3965">
        <w:rPr>
          <w:rtl/>
        </w:rPr>
        <w:t>–</w:t>
      </w:r>
      <w:r w:rsidR="006A3965">
        <w:rPr>
          <w:rFonts w:hint="cs"/>
          <w:rtl/>
        </w:rPr>
        <w:t xml:space="preserve"> ישונה המנגנון המוצע בהתאם.</w:t>
      </w:r>
    </w:p>
    <w:p w:rsidR="00AB3999" w:rsidRDefault="00AB3999" w:rsidP="00AB3999">
      <w:pPr>
        <w:pStyle w:val="Hesber"/>
        <w:tabs>
          <w:tab w:val="left" w:pos="424"/>
        </w:tabs>
        <w:ind w:firstLine="0"/>
        <w:rPr>
          <w:rtl/>
        </w:rPr>
      </w:pPr>
    </w:p>
    <w:p w:rsidR="00980D6D" w:rsidRDefault="00AB3999" w:rsidP="00D166E0">
      <w:pPr>
        <w:pStyle w:val="Hesber1st"/>
        <w:tabs>
          <w:tab w:val="clear" w:pos="680"/>
        </w:tabs>
        <w:rPr>
          <w:rtl/>
        </w:rPr>
      </w:pPr>
      <w:r w:rsidRPr="00980D6D">
        <w:rPr>
          <w:rFonts w:hint="eastAsia"/>
          <w:b/>
          <w:bCs/>
          <w:rtl/>
        </w:rPr>
        <w:t>סעיף</w:t>
      </w:r>
      <w:r w:rsidRPr="00980D6D">
        <w:rPr>
          <w:b/>
          <w:bCs/>
          <w:rtl/>
        </w:rPr>
        <w:t xml:space="preserve"> 5</w:t>
      </w:r>
      <w:r>
        <w:rPr>
          <w:rFonts w:hint="cs"/>
          <w:b/>
          <w:bCs/>
          <w:rtl/>
        </w:rPr>
        <w:t xml:space="preserve"> </w:t>
      </w:r>
      <w:r w:rsidRPr="00511DF3">
        <w:rPr>
          <w:rtl/>
        </w:rPr>
        <w:t>–</w:t>
      </w:r>
      <w:r>
        <w:rPr>
          <w:rFonts w:hint="cs"/>
          <w:b/>
          <w:bCs/>
          <w:rtl/>
        </w:rPr>
        <w:t xml:space="preserve"> </w:t>
      </w:r>
      <w:r w:rsidR="00980D6D">
        <w:rPr>
          <w:rFonts w:hint="cs"/>
          <w:rtl/>
        </w:rPr>
        <w:t>במסגרת סעיף זה מוצע להבהיר את סמכות התובע לתקן הודעת תשלום או להוציא הודעת תשלום חדשה. הוראה זו מבוססת על סעיפים 229(ו) ו-(ז) לחוק סדר הדין הפלילי, אשר קובעים הוראות בדבר הגשת בקשה לתובע לפטור מתשלום תוספת פיגור, וזאת באשר הנפקות המעשית של הוצאת הודעת תשלום חדשה הינה "איפוס" פרק הזמן לתשלום קנס ההפרה</w:t>
      </w:r>
      <w:r w:rsidR="00D166E0">
        <w:rPr>
          <w:rFonts w:hint="cs"/>
          <w:rtl/>
        </w:rPr>
        <w:t xml:space="preserve"> וביטול תוספת הפיגור, ככל שהתווספה עד לאותו מועד</w:t>
      </w:r>
      <w:r w:rsidR="00980D6D">
        <w:rPr>
          <w:rFonts w:hint="cs"/>
          <w:rtl/>
        </w:rPr>
        <w:t xml:space="preserve">. בניגוד להסדר הקיים, </w:t>
      </w:r>
      <w:r w:rsidR="00FC532B">
        <w:rPr>
          <w:rFonts w:hint="cs"/>
          <w:rtl/>
        </w:rPr>
        <w:t xml:space="preserve">במסגרת הצעת החוק, </w:t>
      </w:r>
      <w:r w:rsidR="00980D6D">
        <w:rPr>
          <w:rFonts w:hint="cs"/>
          <w:rtl/>
        </w:rPr>
        <w:t xml:space="preserve">מוצע לייחד את הסמכות לפטור </w:t>
      </w:r>
      <w:r w:rsidR="00FC532B">
        <w:rPr>
          <w:rFonts w:hint="cs"/>
          <w:rtl/>
        </w:rPr>
        <w:t>מ</w:t>
      </w:r>
      <w:r w:rsidR="00980D6D">
        <w:rPr>
          <w:rFonts w:hint="cs"/>
          <w:rtl/>
        </w:rPr>
        <w:t xml:space="preserve">תוספת פיגור למרכז לגביית קנסות, בהתאם להוראות </w:t>
      </w:r>
      <w:r w:rsidR="00980D6D" w:rsidRPr="0087282F">
        <w:rPr>
          <w:rFonts w:ascii="David" w:hAnsi="David"/>
          <w:rtl/>
        </w:rPr>
        <w:t xml:space="preserve">חוק המרכז לגביית קנסות, אגרות והוצאות, התשנ"ה-1995 </w:t>
      </w:r>
      <w:r w:rsidR="00980D6D">
        <w:rPr>
          <w:rFonts w:hint="cs"/>
          <w:rtl/>
        </w:rPr>
        <w:t>(להלן: "</w:t>
      </w:r>
      <w:r w:rsidR="00980D6D" w:rsidRPr="00511DF3">
        <w:rPr>
          <w:rFonts w:ascii="David" w:hAnsi="David"/>
          <w:b/>
          <w:bCs/>
          <w:rtl/>
        </w:rPr>
        <w:t>חוק המרכז לגביית קנסות</w:t>
      </w:r>
      <w:r w:rsidR="00980D6D">
        <w:rPr>
          <w:rFonts w:ascii="David" w:hAnsi="David" w:hint="cs"/>
          <w:rtl/>
        </w:rPr>
        <w:t xml:space="preserve">"), </w:t>
      </w:r>
      <w:r w:rsidR="00FC532B">
        <w:rPr>
          <w:rFonts w:ascii="David" w:hAnsi="David" w:hint="cs"/>
          <w:rtl/>
        </w:rPr>
        <w:t xml:space="preserve">וזאת נוכח מומחיות וניסיונו כגורם </w:t>
      </w:r>
      <w:proofErr w:type="spellStart"/>
      <w:r w:rsidR="00FC532B">
        <w:rPr>
          <w:rFonts w:ascii="David" w:hAnsi="David" w:hint="cs"/>
          <w:rtl/>
        </w:rPr>
        <w:t>המינהלי</w:t>
      </w:r>
      <w:proofErr w:type="spellEnd"/>
      <w:r w:rsidR="00FC532B">
        <w:rPr>
          <w:rFonts w:ascii="David" w:hAnsi="David" w:hint="cs"/>
          <w:rtl/>
        </w:rPr>
        <w:t xml:space="preserve"> האמון על התחום, ועל מנת שלא ליצור סמכויות מקבילות.</w:t>
      </w:r>
      <w:r w:rsidR="008A0989">
        <w:rPr>
          <w:rFonts w:hint="cs"/>
          <w:rtl/>
        </w:rPr>
        <w:t xml:space="preserve"> יצוין, כי הבחנה זו תואמת את הצעת חוק המרכז לגביית קנסות, אגרות והוצאות (תיקון מס' 21), התשע"ט-2018,</w:t>
      </w:r>
      <w:r w:rsidR="008A0989">
        <w:rPr>
          <w:rStyle w:val="a9"/>
          <w:rtl/>
        </w:rPr>
        <w:footnoteReference w:id="30"/>
      </w:r>
      <w:r w:rsidR="008A0989">
        <w:rPr>
          <w:rFonts w:hint="cs"/>
          <w:rtl/>
        </w:rPr>
        <w:t xml:space="preserve"> אשר במסגרתה הוצע </w:t>
      </w:r>
      <w:proofErr w:type="spellStart"/>
      <w:r w:rsidR="008A0989">
        <w:rPr>
          <w:rFonts w:hint="cs"/>
          <w:rtl/>
        </w:rPr>
        <w:t>ליתן</w:t>
      </w:r>
      <w:proofErr w:type="spellEnd"/>
      <w:r w:rsidR="008A0989">
        <w:rPr>
          <w:rFonts w:hint="cs"/>
          <w:rtl/>
        </w:rPr>
        <w:t xml:space="preserve"> למנהל המרכז לגביית קנסות, אגרות והוצאות סמכות בלעדית בכל הנוגע להחלטות </w:t>
      </w:r>
      <w:r w:rsidR="0054394A">
        <w:rPr>
          <w:rFonts w:hint="cs"/>
          <w:rtl/>
        </w:rPr>
        <w:t>לעניין פטור מתשלום תוספת פיגור</w:t>
      </w:r>
      <w:r w:rsidR="008A0989">
        <w:rPr>
          <w:rFonts w:hint="cs"/>
          <w:rtl/>
        </w:rPr>
        <w:t>.</w:t>
      </w:r>
    </w:p>
    <w:p w:rsidR="00FC532B" w:rsidRDefault="00FC532B" w:rsidP="00FC532B">
      <w:pPr>
        <w:pStyle w:val="Hesber1st"/>
        <w:tabs>
          <w:tab w:val="clear" w:pos="680"/>
        </w:tabs>
        <w:rPr>
          <w:rtl/>
        </w:rPr>
      </w:pPr>
    </w:p>
    <w:p w:rsidR="00FC532B" w:rsidRDefault="00FC532B" w:rsidP="00511DF3">
      <w:pPr>
        <w:pStyle w:val="Hesber1st"/>
        <w:tabs>
          <w:tab w:val="clear" w:pos="680"/>
        </w:tabs>
        <w:rPr>
          <w:rtl/>
        </w:rPr>
      </w:pPr>
      <w:r w:rsidRPr="00511DF3">
        <w:rPr>
          <w:rFonts w:hint="eastAsia"/>
          <w:b/>
          <w:bCs/>
          <w:rtl/>
        </w:rPr>
        <w:t>סעיף</w:t>
      </w:r>
      <w:r w:rsidRPr="00511DF3">
        <w:rPr>
          <w:b/>
          <w:bCs/>
          <w:rtl/>
        </w:rPr>
        <w:t xml:space="preserve"> 6</w:t>
      </w:r>
      <w:r>
        <w:rPr>
          <w:rFonts w:hint="cs"/>
          <w:b/>
          <w:bCs/>
          <w:rtl/>
        </w:rPr>
        <w:t xml:space="preserve"> </w:t>
      </w:r>
      <w:r>
        <w:rPr>
          <w:rtl/>
        </w:rPr>
        <w:t>–</w:t>
      </w:r>
      <w:r>
        <w:rPr>
          <w:rFonts w:hint="cs"/>
          <w:rtl/>
        </w:rPr>
        <w:t xml:space="preserve"> במסגרת סעיף זה מוצע להסדיר את אופן הסמכת גו</w:t>
      </w:r>
      <w:r w:rsidR="008A0989">
        <w:rPr>
          <w:rFonts w:hint="cs"/>
          <w:rtl/>
        </w:rPr>
        <w:t xml:space="preserve">רמי אכיפה נוספים לפי החוק המוצע, כאשר </w:t>
      </w:r>
      <w:r>
        <w:rPr>
          <w:rFonts w:hint="cs"/>
          <w:rtl/>
        </w:rPr>
        <w:t>בשלב הראשון</w:t>
      </w:r>
      <w:r w:rsidR="008A0989">
        <w:rPr>
          <w:rFonts w:hint="cs"/>
          <w:rtl/>
        </w:rPr>
        <w:t>,</w:t>
      </w:r>
      <w:r>
        <w:rPr>
          <w:rFonts w:hint="cs"/>
          <w:rtl/>
        </w:rPr>
        <w:t xml:space="preserve"> </w:t>
      </w:r>
      <w:r w:rsidR="008A0989">
        <w:rPr>
          <w:rFonts w:hint="cs"/>
          <w:rtl/>
        </w:rPr>
        <w:t>מוצע להסמיך</w:t>
      </w:r>
      <w:r>
        <w:rPr>
          <w:rFonts w:hint="cs"/>
          <w:rtl/>
        </w:rPr>
        <w:t xml:space="preserve"> </w:t>
      </w:r>
      <w:r w:rsidRPr="008C720D">
        <w:rPr>
          <w:rFonts w:hint="cs"/>
          <w:rtl/>
        </w:rPr>
        <w:t>עובדי רשות מקומית</w:t>
      </w:r>
      <w:r>
        <w:rPr>
          <w:rFonts w:hint="cs"/>
          <w:rtl/>
        </w:rPr>
        <w:t xml:space="preserve">. </w:t>
      </w:r>
      <w:r w:rsidR="008A0989">
        <w:rPr>
          <w:rFonts w:hint="cs"/>
          <w:rtl/>
        </w:rPr>
        <w:t xml:space="preserve">במסגרת סעיף זה </w:t>
      </w:r>
      <w:r>
        <w:rPr>
          <w:rFonts w:hint="cs"/>
          <w:rtl/>
        </w:rPr>
        <w:t xml:space="preserve">מוצע, </w:t>
      </w:r>
      <w:r w:rsidR="008A0989">
        <w:rPr>
          <w:rFonts w:hint="cs"/>
          <w:rtl/>
        </w:rPr>
        <w:t xml:space="preserve">לבסס את אופן ההסמכה על </w:t>
      </w:r>
      <w:r>
        <w:rPr>
          <w:rFonts w:hint="cs"/>
          <w:rtl/>
        </w:rPr>
        <w:t xml:space="preserve">הוראות החוק לייעול הפיקוח, </w:t>
      </w:r>
      <w:r w:rsidR="008A0989">
        <w:rPr>
          <w:rFonts w:hint="cs"/>
          <w:rtl/>
        </w:rPr>
        <w:t xml:space="preserve">אשר קובע הסדר מקיף ומאוזן לעניין הסמכת עובדי רשויות מקומיות לאכוף עבירות תעבורה, </w:t>
      </w:r>
      <w:r w:rsidR="009977FC">
        <w:rPr>
          <w:rFonts w:hint="cs"/>
          <w:rtl/>
        </w:rPr>
        <w:t xml:space="preserve">לרבות אופן הסמכתם, </w:t>
      </w:r>
      <w:r w:rsidR="008A0989">
        <w:rPr>
          <w:rFonts w:hint="cs"/>
          <w:rtl/>
        </w:rPr>
        <w:t xml:space="preserve">הסמכויות המוקנות להם, תנאים להפעלת סמכויותיהם ועוד. עוד מוצע, להגביל את </w:t>
      </w:r>
      <w:r w:rsidR="009977FC">
        <w:rPr>
          <w:rFonts w:hint="cs"/>
          <w:rtl/>
        </w:rPr>
        <w:t>ההסמכה, לעבירות תעבורה אשר עובדי רשויות מקומיות</w:t>
      </w:r>
      <w:r w:rsidR="008A0989">
        <w:rPr>
          <w:rFonts w:hint="cs"/>
          <w:rtl/>
        </w:rPr>
        <w:t xml:space="preserve"> מוסמכים לאכוף כיום </w:t>
      </w:r>
      <w:r w:rsidR="009977FC">
        <w:rPr>
          <w:rFonts w:hint="cs"/>
          <w:rtl/>
        </w:rPr>
        <w:t xml:space="preserve">ואשר צפויות להיות מוגדרות כהפרות תעבורה, מכוח </w:t>
      </w:r>
      <w:r w:rsidR="001C163E">
        <w:rPr>
          <w:rFonts w:hint="cs"/>
          <w:rtl/>
        </w:rPr>
        <w:t>החוק המוצע.</w:t>
      </w:r>
    </w:p>
    <w:p w:rsidR="00FC532B" w:rsidRDefault="00FC532B" w:rsidP="00511DF3">
      <w:pPr>
        <w:pStyle w:val="Hesber1st"/>
        <w:tabs>
          <w:tab w:val="clear" w:pos="680"/>
        </w:tabs>
        <w:rPr>
          <w:rtl/>
        </w:rPr>
      </w:pPr>
    </w:p>
    <w:p w:rsidR="00CE6047" w:rsidRDefault="009977FC" w:rsidP="00283512">
      <w:pPr>
        <w:pStyle w:val="Hesber1st"/>
        <w:tabs>
          <w:tab w:val="clear" w:pos="680"/>
        </w:tabs>
        <w:rPr>
          <w:rtl/>
        </w:rPr>
      </w:pPr>
      <w:r>
        <w:rPr>
          <w:rFonts w:hint="cs"/>
          <w:b/>
          <w:bCs/>
          <w:rtl/>
        </w:rPr>
        <w:t xml:space="preserve">סעיף 7 </w:t>
      </w:r>
      <w:r w:rsidRPr="00511DF3">
        <w:rPr>
          <w:rtl/>
        </w:rPr>
        <w:t>–</w:t>
      </w:r>
      <w:r>
        <w:rPr>
          <w:rFonts w:hint="cs"/>
          <w:b/>
          <w:bCs/>
          <w:rtl/>
        </w:rPr>
        <w:t xml:space="preserve"> </w:t>
      </w:r>
      <w:r>
        <w:rPr>
          <w:rFonts w:hint="cs"/>
          <w:rtl/>
        </w:rPr>
        <w:t xml:space="preserve">מוצע להחיל את </w:t>
      </w:r>
      <w:r w:rsidRPr="009977FC">
        <w:rPr>
          <w:rFonts w:hint="cs"/>
          <w:rtl/>
        </w:rPr>
        <w:t>הוראות</w:t>
      </w:r>
      <w:r>
        <w:rPr>
          <w:rFonts w:hint="cs"/>
          <w:rtl/>
        </w:rPr>
        <w:t xml:space="preserve"> סעיפים 27, 27א, 27א1, 27ב, 27ג ו-27ד לפקודת התעבורה גם על הפרת תעבורה ועל הליך המתנהל בפני בתי דין לתעבורה לפי חוק </w:t>
      </w:r>
      <w:r w:rsidR="00CE6047">
        <w:rPr>
          <w:rFonts w:hint="cs"/>
          <w:rtl/>
        </w:rPr>
        <w:t>המוצע</w:t>
      </w:r>
      <w:r>
        <w:rPr>
          <w:rFonts w:hint="cs"/>
          <w:rtl/>
        </w:rPr>
        <w:t>, וזאת נוכח הרלוונטיות שלהן לענייננו ולהחלטה כאמור. יצוין שלכאורה היה ניתן להחיל גם את סעיף 27ב1 לפקודת התעבורה נוכח אותם רציונאליים, אך נמצא שהוראה זו אינה רלוונטית לחוק המוצע</w:t>
      </w:r>
      <w:r w:rsidR="00CE6047">
        <w:rPr>
          <w:rFonts w:hint="cs"/>
          <w:rtl/>
        </w:rPr>
        <w:t xml:space="preserve"> ולעבירות שמוצע להגדירן כהפרות תעבורה</w:t>
      </w:r>
      <w:r>
        <w:rPr>
          <w:rFonts w:hint="cs"/>
          <w:rtl/>
        </w:rPr>
        <w:t xml:space="preserve">. </w:t>
      </w:r>
    </w:p>
    <w:p w:rsidR="009977FC" w:rsidRDefault="009977FC" w:rsidP="00511DF3">
      <w:pPr>
        <w:pStyle w:val="Hesber"/>
        <w:rPr>
          <w:rtl/>
        </w:rPr>
      </w:pPr>
      <w:r>
        <w:rPr>
          <w:rFonts w:hint="cs"/>
          <w:rtl/>
        </w:rPr>
        <w:t>וזהו נוסחו של סעיפים 27ב:</w:t>
      </w:r>
    </w:p>
    <w:p w:rsidR="009977FC" w:rsidRDefault="009977FC" w:rsidP="00511DF3">
      <w:pPr>
        <w:pStyle w:val="Hesber"/>
        <w:rPr>
          <w:rtl/>
        </w:rPr>
      </w:pPr>
      <w:r>
        <w:rPr>
          <w:rFonts w:hint="cs"/>
          <w:rtl/>
        </w:rPr>
        <w:t>"</w:t>
      </w:r>
      <w:r>
        <w:rPr>
          <w:rtl/>
        </w:rPr>
        <w:t>27ב.</w:t>
      </w:r>
      <w:r w:rsidRPr="006D5CFF">
        <w:rPr>
          <w:rtl/>
        </w:rPr>
        <w:t xml:space="preserve"> (א)</w:t>
      </w:r>
      <w:r>
        <w:rPr>
          <w:rFonts w:hint="cs"/>
          <w:rtl/>
        </w:rPr>
        <w:t xml:space="preserve"> </w:t>
      </w:r>
      <w:r w:rsidRPr="006D5CFF">
        <w:rPr>
          <w:rtl/>
        </w:rPr>
        <w:t xml:space="preserve">נעשתה עבירת תעבורה ברכב, רואים את בעל הרכב כאילו הוא נהג ברכב אותה שעה או כאילו העמידו או החנה אותו במקום </w:t>
      </w:r>
      <w:r w:rsidRPr="00CE6047">
        <w:rPr>
          <w:rtl/>
        </w:rPr>
        <w:t>שהעמדתו</w:t>
      </w:r>
      <w:r w:rsidRPr="006D5CFF">
        <w:rPr>
          <w:rtl/>
        </w:rPr>
        <w:t xml:space="preserve"> או חנייתו אסורה על פי חיקוק, לפי </w:t>
      </w:r>
      <w:proofErr w:type="spellStart"/>
      <w:r w:rsidRPr="006D5CFF">
        <w:rPr>
          <w:rtl/>
        </w:rPr>
        <w:t>הענין</w:t>
      </w:r>
      <w:proofErr w:type="spellEnd"/>
      <w:r w:rsidRPr="006D5CFF">
        <w:rPr>
          <w:rtl/>
        </w:rPr>
        <w:t>, זולת אם הוכיח מי נהג ברכב, העמידו או החנהו כאמור או אם הוכיח למי מסר את החזקה ברכב (להלן – המחזיק), או הוכח שהרכב נלקח ממנו בלי ידיעתו ובלי הסכמתו.</w:t>
      </w:r>
    </w:p>
    <w:p w:rsidR="009977FC" w:rsidRDefault="009977FC" w:rsidP="009977FC">
      <w:pPr>
        <w:pStyle w:val="Hesber"/>
        <w:tabs>
          <w:tab w:val="left" w:pos="424"/>
        </w:tabs>
        <w:ind w:firstLine="0"/>
        <w:rPr>
          <w:rtl/>
        </w:rPr>
      </w:pPr>
      <w:r>
        <w:rPr>
          <w:rtl/>
        </w:rPr>
        <w:tab/>
      </w:r>
      <w:r w:rsidRPr="006D5CFF">
        <w:rPr>
          <w:rtl/>
        </w:rPr>
        <w:t>(ב)</w:t>
      </w:r>
      <w:r>
        <w:rPr>
          <w:rFonts w:hint="cs"/>
          <w:rtl/>
        </w:rPr>
        <w:t xml:space="preserve"> </w:t>
      </w:r>
      <w:r w:rsidRPr="006D5CFF">
        <w:rPr>
          <w:rtl/>
        </w:rPr>
        <w:t xml:space="preserve">הוכיח בעל הרכב למי מסר את החזקה ברכב, תחול החזקה </w:t>
      </w:r>
      <w:r>
        <w:rPr>
          <w:rtl/>
        </w:rPr>
        <w:t>האמורה בסעיף קטן (א) על המחזיק.</w:t>
      </w:r>
    </w:p>
    <w:p w:rsidR="009977FC" w:rsidRDefault="009977FC" w:rsidP="009977FC">
      <w:pPr>
        <w:pStyle w:val="Hesber"/>
        <w:tabs>
          <w:tab w:val="left" w:pos="424"/>
        </w:tabs>
        <w:ind w:firstLine="0"/>
        <w:rPr>
          <w:rtl/>
        </w:rPr>
      </w:pPr>
      <w:r>
        <w:rPr>
          <w:rtl/>
        </w:rPr>
        <w:tab/>
      </w:r>
      <w:r w:rsidRPr="006D5CFF">
        <w:rPr>
          <w:rtl/>
        </w:rPr>
        <w:t>(ג)</w:t>
      </w:r>
      <w:r>
        <w:rPr>
          <w:rFonts w:hint="cs"/>
          <w:rtl/>
        </w:rPr>
        <w:t xml:space="preserve"> </w:t>
      </w:r>
      <w:r w:rsidRPr="006D5CFF">
        <w:rPr>
          <w:rtl/>
        </w:rPr>
        <w:t>הוכיח המחזיק כי מסר את החזקה ברכב לאדם אחר, תחול החזקה האמורה בסעיף קטן (א) על אותו אדם</w:t>
      </w:r>
      <w:r>
        <w:rPr>
          <w:rFonts w:hint="cs"/>
          <w:rtl/>
        </w:rPr>
        <w:t>"</w:t>
      </w:r>
      <w:r w:rsidRPr="006D5CFF">
        <w:rPr>
          <w:rtl/>
        </w:rPr>
        <w:t>.</w:t>
      </w:r>
    </w:p>
    <w:p w:rsidR="009977FC" w:rsidRPr="006D5CFF" w:rsidRDefault="009977FC" w:rsidP="00D166E0">
      <w:pPr>
        <w:pStyle w:val="Hesber"/>
        <w:rPr>
          <w:rtl/>
        </w:rPr>
      </w:pPr>
      <w:r w:rsidRPr="00E75DA5">
        <w:rPr>
          <w:rFonts w:hint="cs"/>
          <w:rtl/>
        </w:rPr>
        <w:t>הוראות</w:t>
      </w:r>
      <w:r>
        <w:rPr>
          <w:rFonts w:hint="cs"/>
          <w:rtl/>
        </w:rPr>
        <w:t xml:space="preserve"> סעיפים 27, 27א,</w:t>
      </w:r>
      <w:r w:rsidR="00CE6047">
        <w:rPr>
          <w:rFonts w:hint="cs"/>
          <w:rtl/>
        </w:rPr>
        <w:t xml:space="preserve"> 27א1</w:t>
      </w:r>
      <w:r w:rsidR="00511DF3">
        <w:rPr>
          <w:rFonts w:hint="cs"/>
          <w:rtl/>
        </w:rPr>
        <w:t>,</w:t>
      </w:r>
      <w:r>
        <w:rPr>
          <w:rFonts w:hint="cs"/>
          <w:rtl/>
        </w:rPr>
        <w:t xml:space="preserve"> 27ג ו-27ד לפקודת התעבורה </w:t>
      </w:r>
      <w:r w:rsidR="00D166E0">
        <w:rPr>
          <w:rFonts w:hint="cs"/>
          <w:rtl/>
        </w:rPr>
        <w:t xml:space="preserve">קובעות הוראות לעניין קבילות הודעה בכתב ודו"ח בוחן, צילום רכב, </w:t>
      </w:r>
      <w:r w:rsidR="00D166E0" w:rsidRPr="0097349B">
        <w:rPr>
          <w:rFonts w:hint="cs"/>
          <w:rtl/>
        </w:rPr>
        <w:t>ריש</w:t>
      </w:r>
      <w:r w:rsidR="00D166E0">
        <w:rPr>
          <w:rtl/>
        </w:rPr>
        <w:t xml:space="preserve">ום שנעשה </w:t>
      </w:r>
      <w:proofErr w:type="spellStart"/>
      <w:r w:rsidR="00D166E0">
        <w:rPr>
          <w:rtl/>
        </w:rPr>
        <w:t>בדיסקה</w:t>
      </w:r>
      <w:proofErr w:type="spellEnd"/>
      <w:r w:rsidR="00D166E0">
        <w:rPr>
          <w:rtl/>
        </w:rPr>
        <w:t xml:space="preserve"> או </w:t>
      </w:r>
      <w:r w:rsidR="00D166E0" w:rsidRPr="0097349B">
        <w:rPr>
          <w:rtl/>
        </w:rPr>
        <w:t>רישום ממוחשב בטכוגרף</w:t>
      </w:r>
      <w:r w:rsidR="00D166E0">
        <w:rPr>
          <w:rFonts w:hint="cs"/>
          <w:rtl/>
        </w:rPr>
        <w:t xml:space="preserve"> ורשומה אלקטרונית. נמצא, כי </w:t>
      </w:r>
      <w:r>
        <w:rPr>
          <w:rFonts w:hint="cs"/>
          <w:rtl/>
        </w:rPr>
        <w:t xml:space="preserve">אין הצדקה להבחין בין הליך שמתנהל בפני בית משפט להליך בענייננו, ואותם רציונאליים שעמדו בבסיס קביעת קבילות ראיות אלו </w:t>
      </w:r>
      <w:r>
        <w:rPr>
          <w:rtl/>
        </w:rPr>
        <w:t>–</w:t>
      </w:r>
      <w:r>
        <w:rPr>
          <w:rFonts w:hint="cs"/>
          <w:rtl/>
        </w:rPr>
        <w:t xml:space="preserve"> חלים גם כאן, הן מבחינה מהותית והן על דרך קל וחומר באשר עסקינן בהליך </w:t>
      </w:r>
      <w:proofErr w:type="spellStart"/>
      <w:r>
        <w:rPr>
          <w:rFonts w:hint="cs"/>
          <w:rtl/>
        </w:rPr>
        <w:t>מינהלי</w:t>
      </w:r>
      <w:proofErr w:type="spellEnd"/>
      <w:r>
        <w:rPr>
          <w:rFonts w:hint="cs"/>
          <w:rtl/>
        </w:rPr>
        <w:t xml:space="preserve"> ולא פלילי. יודגש, כי מדובר בהוראה </w:t>
      </w:r>
      <w:r>
        <w:rPr>
          <w:rFonts w:hint="cs"/>
          <w:b/>
          <w:bCs/>
          <w:rtl/>
        </w:rPr>
        <w:t xml:space="preserve">מבהירה </w:t>
      </w:r>
      <w:r>
        <w:rPr>
          <w:rFonts w:hint="cs"/>
          <w:rtl/>
        </w:rPr>
        <w:t>וזאת באשר בענייננו נדרש "יסוד סביר להניח" לשם קבלת החלטה לפי סעיף 2, ו</w:t>
      </w:r>
      <w:r w:rsidRPr="00542040">
        <w:rPr>
          <w:rtl/>
        </w:rPr>
        <w:t xml:space="preserve">בית הדין יקבע </w:t>
      </w:r>
      <w:r>
        <w:rPr>
          <w:rtl/>
        </w:rPr>
        <w:t>את ממצאיו על בסיס ראיות מנהליות</w:t>
      </w:r>
      <w:r w:rsidRPr="00542040">
        <w:rPr>
          <w:rtl/>
        </w:rPr>
        <w:t xml:space="preserve"> וברמת הוכחה של הדין </w:t>
      </w:r>
      <w:proofErr w:type="spellStart"/>
      <w:r w:rsidRPr="00542040">
        <w:rPr>
          <w:rtl/>
        </w:rPr>
        <w:t>המינהלי</w:t>
      </w:r>
      <w:proofErr w:type="spellEnd"/>
      <w:r>
        <w:rPr>
          <w:rFonts w:hint="cs"/>
          <w:rtl/>
        </w:rPr>
        <w:t xml:space="preserve">. לעניין זה קובע סעיף 21 לחוק בתי דין </w:t>
      </w:r>
      <w:proofErr w:type="spellStart"/>
      <w:r>
        <w:rPr>
          <w:rFonts w:hint="cs"/>
          <w:rtl/>
        </w:rPr>
        <w:t>מינהליים</w:t>
      </w:r>
      <w:proofErr w:type="spellEnd"/>
      <w:r>
        <w:rPr>
          <w:rFonts w:hint="cs"/>
          <w:rtl/>
        </w:rPr>
        <w:t>:</w:t>
      </w:r>
      <w:r>
        <w:rPr>
          <w:rtl/>
        </w:rPr>
        <w:t> </w:t>
      </w:r>
      <w:r>
        <w:rPr>
          <w:rFonts w:hint="cs"/>
          <w:rtl/>
        </w:rPr>
        <w:t>"</w:t>
      </w:r>
      <w:r w:rsidRPr="0097349B">
        <w:rPr>
          <w:rtl/>
        </w:rPr>
        <w:t>בית דין לא יהיה קשור בדיני הראיות, פרט לדינים בדבר ראיות חסויות לפי פרק ג' לפקודת הראיות [נוסח חדש], תשל"א-1971, וזאת בכפוף להוראות בחוק זה או בכל דין</w:t>
      </w:r>
      <w:r>
        <w:rPr>
          <w:rFonts w:hint="cs"/>
          <w:rtl/>
        </w:rPr>
        <w:t>".</w:t>
      </w:r>
    </w:p>
    <w:p w:rsidR="00FC532B" w:rsidRPr="00511DF3" w:rsidRDefault="00FC532B" w:rsidP="00283512">
      <w:pPr>
        <w:pStyle w:val="Hesber1st"/>
        <w:tabs>
          <w:tab w:val="clear" w:pos="680"/>
        </w:tabs>
        <w:rPr>
          <w:rtl/>
        </w:rPr>
      </w:pPr>
    </w:p>
    <w:p w:rsidR="00CE6047" w:rsidRDefault="00CE6047" w:rsidP="00A453B8">
      <w:pPr>
        <w:pStyle w:val="Hesber"/>
        <w:tabs>
          <w:tab w:val="left" w:pos="424"/>
        </w:tabs>
        <w:ind w:firstLine="0"/>
        <w:rPr>
          <w:b/>
          <w:bCs/>
          <w:rtl/>
        </w:rPr>
      </w:pPr>
      <w:r>
        <w:rPr>
          <w:rFonts w:hint="cs"/>
          <w:b/>
          <w:bCs/>
          <w:rtl/>
        </w:rPr>
        <w:t xml:space="preserve">פרק ב': הטלת קנס </w:t>
      </w:r>
      <w:proofErr w:type="spellStart"/>
      <w:r>
        <w:rPr>
          <w:rFonts w:hint="cs"/>
          <w:b/>
          <w:bCs/>
          <w:rtl/>
        </w:rPr>
        <w:t>מינהלי</w:t>
      </w:r>
      <w:proofErr w:type="spellEnd"/>
    </w:p>
    <w:p w:rsidR="00AB3999" w:rsidRDefault="00CE6047" w:rsidP="00A453B8">
      <w:pPr>
        <w:pStyle w:val="Hesber1st"/>
        <w:tabs>
          <w:tab w:val="clear" w:pos="680"/>
        </w:tabs>
        <w:rPr>
          <w:color w:val="FF0000"/>
          <w:rtl/>
        </w:rPr>
      </w:pPr>
      <w:r w:rsidRPr="00511DF3">
        <w:rPr>
          <w:rFonts w:hint="eastAsia"/>
          <w:b/>
          <w:bCs/>
          <w:rtl/>
        </w:rPr>
        <w:t>סעיף</w:t>
      </w:r>
      <w:r w:rsidRPr="00511DF3">
        <w:rPr>
          <w:b/>
          <w:bCs/>
          <w:rtl/>
        </w:rPr>
        <w:t xml:space="preserve"> 8</w:t>
      </w:r>
      <w:r>
        <w:rPr>
          <w:rFonts w:hint="cs"/>
          <w:rtl/>
        </w:rPr>
        <w:t xml:space="preserve"> </w:t>
      </w:r>
      <w:r>
        <w:rPr>
          <w:rtl/>
        </w:rPr>
        <w:t>–</w:t>
      </w:r>
      <w:r>
        <w:rPr>
          <w:rFonts w:hint="cs"/>
          <w:rtl/>
        </w:rPr>
        <w:t xml:space="preserve"> </w:t>
      </w:r>
      <w:r w:rsidR="00AB3999">
        <w:rPr>
          <w:rFonts w:hint="cs"/>
          <w:rtl/>
        </w:rPr>
        <w:t>במסגרת סעיף 7 ל</w:t>
      </w:r>
      <w:r w:rsidR="00E72965">
        <w:rPr>
          <w:rFonts w:hint="cs"/>
          <w:rtl/>
        </w:rPr>
        <w:t>פרק ההמלצות ב</w:t>
      </w:r>
      <w:r w:rsidR="00AB3999">
        <w:rPr>
          <w:rFonts w:hint="cs"/>
          <w:rtl/>
        </w:rPr>
        <w:t>דו"ח, התייחס הצוות להפרות תעבורה רבות (</w:t>
      </w:r>
      <w:proofErr w:type="spellStart"/>
      <w:r w:rsidR="00AB3999">
        <w:rPr>
          <w:rFonts w:hint="cs"/>
          <w:rtl/>
        </w:rPr>
        <w:t>רצידיביזם</w:t>
      </w:r>
      <w:proofErr w:type="spellEnd"/>
      <w:r w:rsidR="00AB3999">
        <w:rPr>
          <w:rFonts w:hint="cs"/>
          <w:rtl/>
        </w:rPr>
        <w:t xml:space="preserve">). בהתאם להמלצת הצוות </w:t>
      </w:r>
      <w:proofErr w:type="spellStart"/>
      <w:r w:rsidR="00AB3999">
        <w:rPr>
          <w:rFonts w:hint="cs"/>
          <w:rtl/>
        </w:rPr>
        <w:t>הבינמשרדי</w:t>
      </w:r>
      <w:proofErr w:type="spellEnd"/>
      <w:r w:rsidR="00AB3999">
        <w:rPr>
          <w:rFonts w:hint="cs"/>
          <w:rtl/>
        </w:rPr>
        <w:t xml:space="preserve">, </w:t>
      </w:r>
      <w:r w:rsidR="00AB3999" w:rsidRPr="00490FBC">
        <w:rPr>
          <w:rFonts w:hint="cs"/>
          <w:rtl/>
        </w:rPr>
        <w:t xml:space="preserve">יוטל </w:t>
      </w:r>
      <w:r w:rsidR="00AB3999" w:rsidRPr="00490FBC">
        <w:rPr>
          <w:rtl/>
        </w:rPr>
        <w:t xml:space="preserve">כפל קנס </w:t>
      </w:r>
      <w:r w:rsidR="00AB3999" w:rsidRPr="00980D6D">
        <w:rPr>
          <w:rtl/>
        </w:rPr>
        <w:t>במקרה</w:t>
      </w:r>
      <w:r w:rsidR="00AB3999" w:rsidRPr="00490FBC">
        <w:rPr>
          <w:rtl/>
        </w:rPr>
        <w:t xml:space="preserve"> של </w:t>
      </w:r>
      <w:proofErr w:type="spellStart"/>
      <w:r w:rsidR="00AB3999" w:rsidRPr="00490FBC">
        <w:rPr>
          <w:rtl/>
        </w:rPr>
        <w:t>רצידיביזם</w:t>
      </w:r>
      <w:proofErr w:type="spellEnd"/>
      <w:r w:rsidR="00AB3999" w:rsidRPr="00490FBC">
        <w:rPr>
          <w:rtl/>
        </w:rPr>
        <w:t xml:space="preserve">, קרי ביצוע הפרות תעבורה רבות בתקופת זמן מוגדרת. </w:t>
      </w:r>
      <w:r w:rsidR="00AB3999">
        <w:rPr>
          <w:rFonts w:hint="cs"/>
          <w:rtl/>
        </w:rPr>
        <w:t xml:space="preserve">במסגרת סעיף </w:t>
      </w:r>
      <w:r w:rsidR="00AB3999" w:rsidRPr="0099383F">
        <w:rPr>
          <w:rFonts w:hint="eastAsia"/>
          <w:rtl/>
        </w:rPr>
        <w:t>זה</w:t>
      </w:r>
      <w:r w:rsidR="00AB3999">
        <w:rPr>
          <w:rFonts w:hint="cs"/>
          <w:rtl/>
        </w:rPr>
        <w:t xml:space="preserve"> מוצע לעגן את המלצת הצוות </w:t>
      </w:r>
      <w:r>
        <w:rPr>
          <w:rFonts w:hint="cs"/>
          <w:rtl/>
        </w:rPr>
        <w:t>ולהגדיר</w:t>
      </w:r>
      <w:r w:rsidR="00AB3999">
        <w:rPr>
          <w:rFonts w:hint="cs"/>
          <w:rtl/>
        </w:rPr>
        <w:t xml:space="preserve"> "עבריין תנועה מועד". </w:t>
      </w:r>
      <w:r>
        <w:rPr>
          <w:rFonts w:hint="cs"/>
          <w:rtl/>
        </w:rPr>
        <w:t xml:space="preserve">הוראה דומה קבועה בסעיף 2(ג) לחוק העבירות </w:t>
      </w:r>
      <w:proofErr w:type="spellStart"/>
      <w:r>
        <w:rPr>
          <w:rFonts w:hint="cs"/>
          <w:rtl/>
        </w:rPr>
        <w:t>המינהליות</w:t>
      </w:r>
      <w:proofErr w:type="spellEnd"/>
      <w:r>
        <w:rPr>
          <w:rFonts w:hint="cs"/>
          <w:rtl/>
        </w:rPr>
        <w:t xml:space="preserve">, אשר קובע אפשרות לקבוע קנס </w:t>
      </w:r>
      <w:proofErr w:type="spellStart"/>
      <w:r>
        <w:rPr>
          <w:rFonts w:hint="cs"/>
          <w:rtl/>
        </w:rPr>
        <w:t>מינהלי</w:t>
      </w:r>
      <w:proofErr w:type="spellEnd"/>
      <w:r>
        <w:rPr>
          <w:rFonts w:hint="cs"/>
          <w:rtl/>
        </w:rPr>
        <w:t xml:space="preserve"> בשיעור שונה ל"עבירה </w:t>
      </w:r>
      <w:proofErr w:type="spellStart"/>
      <w:r>
        <w:rPr>
          <w:rFonts w:hint="cs"/>
          <w:rtl/>
        </w:rPr>
        <w:t>מינהלית</w:t>
      </w:r>
      <w:proofErr w:type="spellEnd"/>
      <w:r>
        <w:rPr>
          <w:rFonts w:hint="cs"/>
          <w:rtl/>
        </w:rPr>
        <w:t xml:space="preserve"> חוזרת". בנוסף, </w:t>
      </w:r>
      <w:r w:rsidR="00FA165A">
        <w:rPr>
          <w:rFonts w:hint="cs"/>
          <w:rtl/>
        </w:rPr>
        <w:t>סעיף 30(ב)</w:t>
      </w:r>
      <w:r>
        <w:rPr>
          <w:rFonts w:hint="cs"/>
          <w:rtl/>
        </w:rPr>
        <w:t xml:space="preserve"> </w:t>
      </w:r>
      <w:r w:rsidR="00FA165A">
        <w:rPr>
          <w:rFonts w:hint="cs"/>
          <w:rtl/>
        </w:rPr>
        <w:t>ל</w:t>
      </w:r>
      <w:r>
        <w:rPr>
          <w:rFonts w:hint="cs"/>
          <w:rtl/>
        </w:rPr>
        <w:t xml:space="preserve">פקודת התעבורה </w:t>
      </w:r>
      <w:r w:rsidR="00FA165A">
        <w:rPr>
          <w:rFonts w:hint="cs"/>
          <w:rtl/>
        </w:rPr>
        <w:t>מקנה גם הוא סמכות לקבוע שיעורי קנס שונים לעבירת קנס חוזרת.</w:t>
      </w:r>
    </w:p>
    <w:p w:rsidR="00AB3999" w:rsidRPr="00490FBC" w:rsidRDefault="00AB3999" w:rsidP="00B15FDE">
      <w:pPr>
        <w:pStyle w:val="Hesber"/>
      </w:pPr>
      <w:r w:rsidRPr="00E125A3">
        <w:rPr>
          <w:rFonts w:hint="cs"/>
          <w:b/>
          <w:bCs/>
          <w:rtl/>
        </w:rPr>
        <w:t>סעיף קטן (</w:t>
      </w:r>
      <w:r w:rsidR="00FA165A">
        <w:rPr>
          <w:rFonts w:hint="cs"/>
          <w:b/>
          <w:bCs/>
          <w:rtl/>
        </w:rPr>
        <w:t>ב</w:t>
      </w:r>
      <w:r w:rsidRPr="00E125A3">
        <w:rPr>
          <w:rFonts w:hint="cs"/>
          <w:b/>
          <w:bCs/>
          <w:rtl/>
        </w:rPr>
        <w:t>)</w:t>
      </w:r>
      <w:r w:rsidRPr="00490FBC">
        <w:rPr>
          <w:rFonts w:hint="cs"/>
          <w:rtl/>
        </w:rPr>
        <w:t xml:space="preserve"> מבוסס על סעיף 30(ג) לפקודת התעבורה, ונועד להתאים את גובה הקנס</w:t>
      </w:r>
      <w:r>
        <w:rPr>
          <w:rFonts w:hint="cs"/>
          <w:rtl/>
        </w:rPr>
        <w:t xml:space="preserve"> למקרים בהם בוצעה ברכב הפרת </w:t>
      </w:r>
      <w:r w:rsidRPr="00980D6D">
        <w:rPr>
          <w:rFonts w:hint="cs"/>
          <w:rtl/>
        </w:rPr>
        <w:t>תעבורה</w:t>
      </w:r>
      <w:r>
        <w:rPr>
          <w:rFonts w:hint="cs"/>
          <w:rtl/>
        </w:rPr>
        <w:t xml:space="preserve"> ובעל הרכב או מי שהוכח שהוא המחזיק ברכב הוא תאגיד. ההוראה המוצעת עושה שימוש בחזקה הקבועה </w:t>
      </w:r>
      <w:r w:rsidRPr="00CE6047">
        <w:rPr>
          <w:rFonts w:hint="cs"/>
          <w:rtl/>
        </w:rPr>
        <w:t>בסעיף</w:t>
      </w:r>
      <w:r>
        <w:rPr>
          <w:rFonts w:hint="cs"/>
          <w:rtl/>
        </w:rPr>
        <w:t xml:space="preserve"> 27ב לפקודת התעבורה, אשר חלה גם בכל הנוגע להפרת תעבורה, בהתאם להוראה המוצעת בסעיף 7.</w:t>
      </w:r>
    </w:p>
    <w:p w:rsidR="00AB3999" w:rsidRDefault="00AB3999" w:rsidP="00AB3999">
      <w:pPr>
        <w:pStyle w:val="Hesber"/>
        <w:tabs>
          <w:tab w:val="left" w:pos="424"/>
        </w:tabs>
        <w:ind w:firstLine="0"/>
        <w:rPr>
          <w:rtl/>
        </w:rPr>
      </w:pPr>
    </w:p>
    <w:p w:rsidR="00AB3999" w:rsidRDefault="00FA165A" w:rsidP="00511DF3">
      <w:pPr>
        <w:pStyle w:val="Hesber1st"/>
        <w:tabs>
          <w:tab w:val="clear" w:pos="680"/>
        </w:tabs>
        <w:rPr>
          <w:rtl/>
        </w:rPr>
      </w:pPr>
      <w:r>
        <w:rPr>
          <w:rFonts w:hint="cs"/>
          <w:b/>
          <w:bCs/>
          <w:rtl/>
        </w:rPr>
        <w:t xml:space="preserve">סעיפים 10-9 </w:t>
      </w:r>
      <w:r w:rsidR="00AB3999">
        <w:rPr>
          <w:rtl/>
        </w:rPr>
        <w:t>–</w:t>
      </w:r>
      <w:r w:rsidR="00AB3999">
        <w:rPr>
          <w:rFonts w:hint="cs"/>
          <w:rtl/>
        </w:rPr>
        <w:t xml:space="preserve"> במסגרת </w:t>
      </w:r>
      <w:r w:rsidR="00AB3999" w:rsidRPr="00980D6D">
        <w:rPr>
          <w:rFonts w:hint="cs"/>
          <w:rtl/>
        </w:rPr>
        <w:t>סעיף</w:t>
      </w:r>
      <w:r w:rsidR="00AB3999">
        <w:rPr>
          <w:rFonts w:hint="cs"/>
          <w:rtl/>
        </w:rPr>
        <w:t xml:space="preserve"> זה מוצע לעגן את החלופות העומדות בפני אדם, אשר קיבל הודעת תשלום והן: תשלום </w:t>
      </w:r>
      <w:r w:rsidR="005B4A40">
        <w:rPr>
          <w:rFonts w:hint="cs"/>
          <w:rtl/>
        </w:rPr>
        <w:t>קנס הפרה</w:t>
      </w:r>
      <w:r w:rsidR="00AB3999">
        <w:rPr>
          <w:rFonts w:hint="cs"/>
          <w:rtl/>
        </w:rPr>
        <w:t xml:space="preserve"> תוך 90 יום (בדומה לסד הזמנים הקבוע בסעיף 229(א) לחוק סדר הדין הפלילי), הגשת בקשת ביטול </w:t>
      </w:r>
      <w:r>
        <w:rPr>
          <w:rFonts w:hint="cs"/>
          <w:rtl/>
        </w:rPr>
        <w:t xml:space="preserve">(בדומה </w:t>
      </w:r>
      <w:r w:rsidRPr="00FA165A">
        <w:rPr>
          <w:rFonts w:hint="cs"/>
          <w:rtl/>
        </w:rPr>
        <w:t>ל</w:t>
      </w:r>
      <w:r w:rsidR="00AB3999" w:rsidRPr="00FA165A">
        <w:rPr>
          <w:rFonts w:hint="cs"/>
          <w:rtl/>
        </w:rPr>
        <w:t>סעיף</w:t>
      </w:r>
      <w:r w:rsidR="00AB3999">
        <w:rPr>
          <w:rFonts w:hint="cs"/>
          <w:rtl/>
        </w:rPr>
        <w:t xml:space="preserve"> 229(א)(1) לחוק סדר הדין הפלילי</w:t>
      </w:r>
      <w:r>
        <w:rPr>
          <w:rFonts w:hint="cs"/>
          <w:rtl/>
        </w:rPr>
        <w:t>) או הגשת ערר לבית הדין לתעבורה</w:t>
      </w:r>
      <w:r w:rsidR="00AB3999">
        <w:rPr>
          <w:rFonts w:hint="cs"/>
          <w:rtl/>
        </w:rPr>
        <w:t xml:space="preserve">. </w:t>
      </w:r>
    </w:p>
    <w:p w:rsidR="00AB3999" w:rsidRDefault="00AB3999" w:rsidP="00511DF3">
      <w:pPr>
        <w:pStyle w:val="Hesber"/>
        <w:rPr>
          <w:rtl/>
        </w:rPr>
      </w:pPr>
      <w:r>
        <w:rPr>
          <w:rFonts w:hint="cs"/>
          <w:rtl/>
        </w:rPr>
        <w:t xml:space="preserve">יצוין, כי </w:t>
      </w:r>
      <w:r w:rsidRPr="00980D6D">
        <w:rPr>
          <w:rFonts w:hint="cs"/>
          <w:rtl/>
        </w:rPr>
        <w:t>במסגרת</w:t>
      </w:r>
      <w:r>
        <w:rPr>
          <w:rFonts w:hint="cs"/>
          <w:rtl/>
        </w:rPr>
        <w:t xml:space="preserve"> המלצות הצוות, הומלץ </w:t>
      </w:r>
      <w:r w:rsidRPr="00387B06">
        <w:rPr>
          <w:rFonts w:hint="cs"/>
          <w:rtl/>
        </w:rPr>
        <w:t xml:space="preserve">לשמור על </w:t>
      </w:r>
      <w:r w:rsidRPr="00387B06">
        <w:rPr>
          <w:rtl/>
        </w:rPr>
        <w:t>מתכונת העבודה של המרכז לפניות נהגים ארצי (</w:t>
      </w:r>
      <w:proofErr w:type="spellStart"/>
      <w:r w:rsidRPr="00387B06">
        <w:rPr>
          <w:rtl/>
        </w:rPr>
        <w:t>מפנ"א</w:t>
      </w:r>
      <w:proofErr w:type="spellEnd"/>
      <w:r w:rsidRPr="00387B06">
        <w:rPr>
          <w:rtl/>
        </w:rPr>
        <w:t xml:space="preserve">) כפי </w:t>
      </w:r>
      <w:r>
        <w:rPr>
          <w:rFonts w:hint="cs"/>
          <w:rtl/>
        </w:rPr>
        <w:t>שהוא פועל כיום (ראו, סעיף 8 ל</w:t>
      </w:r>
      <w:r w:rsidR="00FA165A">
        <w:rPr>
          <w:rFonts w:hint="cs"/>
          <w:rtl/>
        </w:rPr>
        <w:t>פרק ההמלצות ב</w:t>
      </w:r>
      <w:r>
        <w:rPr>
          <w:rFonts w:hint="cs"/>
          <w:rtl/>
        </w:rPr>
        <w:t>דו"ח)</w:t>
      </w:r>
      <w:r w:rsidRPr="00387B06">
        <w:rPr>
          <w:rtl/>
        </w:rPr>
        <w:t xml:space="preserve">. קרי, נהג יוכל לפנות </w:t>
      </w:r>
      <w:proofErr w:type="spellStart"/>
      <w:r w:rsidRPr="00387B06">
        <w:rPr>
          <w:rtl/>
        </w:rPr>
        <w:t>למפנ"א</w:t>
      </w:r>
      <w:proofErr w:type="spellEnd"/>
      <w:r w:rsidRPr="00387B06">
        <w:rPr>
          <w:rtl/>
        </w:rPr>
        <w:t xml:space="preserve"> ולבקש להסב דו"ח תנועה, </w:t>
      </w:r>
      <w:r w:rsidRPr="00FA165A">
        <w:rPr>
          <w:rtl/>
        </w:rPr>
        <w:t>או</w:t>
      </w:r>
      <w:r w:rsidRPr="00387B06">
        <w:rPr>
          <w:rtl/>
        </w:rPr>
        <w:t xml:space="preserve"> את ביטולו (מטעמים טכניים), או לבקש לתקוף את ההחלטה בבית דין </w:t>
      </w:r>
      <w:r>
        <w:rPr>
          <w:rFonts w:hint="cs"/>
          <w:rtl/>
        </w:rPr>
        <w:t>לתעבורה</w:t>
      </w:r>
      <w:r w:rsidRPr="00387B06">
        <w:rPr>
          <w:rtl/>
        </w:rPr>
        <w:t xml:space="preserve">. </w:t>
      </w:r>
      <w:r>
        <w:rPr>
          <w:rFonts w:hint="cs"/>
          <w:rtl/>
        </w:rPr>
        <w:t>בהתאם מוצע להתייחס גם לחלופה זו במסגרת הסעיף</w:t>
      </w:r>
      <w:r w:rsidRPr="00387B06">
        <w:rPr>
          <w:rtl/>
        </w:rPr>
        <w:t>.</w:t>
      </w:r>
      <w:r w:rsidR="00FA165A">
        <w:rPr>
          <w:rFonts w:hint="cs"/>
          <w:rtl/>
        </w:rPr>
        <w:t xml:space="preserve"> </w:t>
      </w:r>
    </w:p>
    <w:p w:rsidR="00FA165A" w:rsidRDefault="00BB0294" w:rsidP="00511DF3">
      <w:pPr>
        <w:pStyle w:val="Hesber"/>
        <w:rPr>
          <w:rtl/>
        </w:rPr>
      </w:pPr>
      <w:r>
        <w:rPr>
          <w:rFonts w:hint="cs"/>
          <w:rtl/>
        </w:rPr>
        <w:t>במסגרת הסעיפים, ובניגוד למצב הקיים,</w:t>
      </w:r>
      <w:r w:rsidR="00FA165A">
        <w:rPr>
          <w:rFonts w:hint="cs"/>
          <w:rtl/>
        </w:rPr>
        <w:t xml:space="preserve"> מוצע להבחין </w:t>
      </w:r>
      <w:r>
        <w:rPr>
          <w:rFonts w:hint="cs"/>
          <w:rtl/>
        </w:rPr>
        <w:t>בין בקשה לביטול מהטעם שיש להסב את הודעת התשלום לגורם אחר, אשר תהיה בסמכות גורם אכיפה; לבין בקשה לביטול מטעמים אחרים, אשר תישאר בסמכות תובע בלבד. הטעם להבחנה זו, הינה, שבקשה לביטול מחמת הסבה, הינה בקשה פשוטה וטכנית יחסית שנסמכת במרבית המקרים על מסמכים ברורים</w:t>
      </w:r>
      <w:r w:rsidR="000F0C37">
        <w:rPr>
          <w:rFonts w:hint="cs"/>
          <w:rtl/>
        </w:rPr>
        <w:t xml:space="preserve">. </w:t>
      </w:r>
      <w:r>
        <w:rPr>
          <w:rFonts w:hint="cs"/>
          <w:rtl/>
        </w:rPr>
        <w:t xml:space="preserve">כך, למשל, במרבית המקרים מדובר בהסבת דו"ח מחברות ליסינג לשוכרים ובמקרים אלו קיים חוזה השכרת רכב. </w:t>
      </w:r>
      <w:r w:rsidR="000F0C37">
        <w:rPr>
          <w:rFonts w:hint="cs"/>
          <w:rtl/>
        </w:rPr>
        <w:t xml:space="preserve">משכך נמצא שאין הצדקה לייחדה לסמכות תובע. </w:t>
      </w:r>
      <w:r>
        <w:rPr>
          <w:rFonts w:hint="cs"/>
          <w:rtl/>
        </w:rPr>
        <w:t xml:space="preserve">יצוין, כי אופן בחינת </w:t>
      </w:r>
      <w:r w:rsidR="000F0C37">
        <w:rPr>
          <w:rFonts w:hint="cs"/>
          <w:rtl/>
        </w:rPr>
        <w:t>בקשות ביטול והסבת הודעות תשלום</w:t>
      </w:r>
      <w:r>
        <w:rPr>
          <w:rFonts w:hint="cs"/>
          <w:rtl/>
        </w:rPr>
        <w:t xml:space="preserve"> מוסדר באופן מפורט במסגרת נהלי </w:t>
      </w:r>
      <w:proofErr w:type="spellStart"/>
      <w:r>
        <w:rPr>
          <w:rFonts w:hint="cs"/>
          <w:rtl/>
        </w:rPr>
        <w:t>את"ן</w:t>
      </w:r>
      <w:proofErr w:type="spellEnd"/>
      <w:r>
        <w:rPr>
          <w:rFonts w:hint="cs"/>
          <w:rtl/>
        </w:rPr>
        <w:t xml:space="preserve"> מספר 02.231.06 "הטיפול בפניות נהגים בדו"חות תעבורה", מיום 26.4.2021.</w:t>
      </w:r>
    </w:p>
    <w:p w:rsidR="00AB3999" w:rsidRDefault="00AB3999" w:rsidP="00511DF3">
      <w:pPr>
        <w:pStyle w:val="Hesber"/>
        <w:rPr>
          <w:rtl/>
        </w:rPr>
      </w:pPr>
      <w:r w:rsidRPr="00511DF3">
        <w:rPr>
          <w:rFonts w:hint="eastAsia"/>
          <w:rtl/>
        </w:rPr>
        <w:t>סעיפים</w:t>
      </w:r>
      <w:r w:rsidRPr="00511DF3">
        <w:rPr>
          <w:rtl/>
        </w:rPr>
        <w:t xml:space="preserve"> קטנים </w:t>
      </w:r>
      <w:r w:rsidR="000F0C37">
        <w:rPr>
          <w:rFonts w:hint="cs"/>
          <w:rtl/>
        </w:rPr>
        <w:t xml:space="preserve">(ב)-(ו) לסעיף 9 </w:t>
      </w:r>
      <w:r w:rsidRPr="00980D6D">
        <w:rPr>
          <w:rFonts w:hint="cs"/>
          <w:rtl/>
        </w:rPr>
        <w:t>מבוססים</w:t>
      </w:r>
      <w:r>
        <w:rPr>
          <w:rFonts w:hint="cs"/>
          <w:rtl/>
        </w:rPr>
        <w:t xml:space="preserve"> על הוראות סעיף </w:t>
      </w:r>
      <w:r w:rsidR="000F0C37">
        <w:rPr>
          <w:rFonts w:hint="cs"/>
          <w:rtl/>
        </w:rPr>
        <w:t xml:space="preserve">229 </w:t>
      </w:r>
      <w:r>
        <w:rPr>
          <w:rFonts w:hint="cs"/>
          <w:rtl/>
        </w:rPr>
        <w:t xml:space="preserve">לחוק סדר הדין הפלילי, ונועדו להבהיר את הנפקות של תשלום </w:t>
      </w:r>
      <w:r w:rsidR="005B4A40">
        <w:rPr>
          <w:rFonts w:hint="cs"/>
          <w:rtl/>
        </w:rPr>
        <w:t xml:space="preserve">קנס </w:t>
      </w:r>
      <w:proofErr w:type="spellStart"/>
      <w:r w:rsidR="005B4A40">
        <w:rPr>
          <w:rFonts w:hint="cs"/>
          <w:rtl/>
        </w:rPr>
        <w:t>מינהלי</w:t>
      </w:r>
      <w:proofErr w:type="spellEnd"/>
      <w:r>
        <w:rPr>
          <w:rFonts w:hint="cs"/>
          <w:rtl/>
        </w:rPr>
        <w:t xml:space="preserve"> או אי-תשלומו מבלי שהאדם פעל לפי אחת החלופות האחרות הקבועות בסעיף קטן (א).</w:t>
      </w:r>
    </w:p>
    <w:p w:rsidR="00AB3999" w:rsidRDefault="00AB3999" w:rsidP="00AB3999">
      <w:pPr>
        <w:pStyle w:val="Hesber"/>
        <w:tabs>
          <w:tab w:val="left" w:pos="424"/>
        </w:tabs>
        <w:ind w:firstLine="0"/>
        <w:rPr>
          <w:rtl/>
        </w:rPr>
      </w:pPr>
    </w:p>
    <w:p w:rsidR="000F0C37" w:rsidRDefault="000F0C37" w:rsidP="00B15FDE">
      <w:pPr>
        <w:pStyle w:val="Hesber1st"/>
        <w:tabs>
          <w:tab w:val="clear" w:pos="680"/>
        </w:tabs>
        <w:rPr>
          <w:rtl/>
        </w:rPr>
      </w:pPr>
      <w:r>
        <w:rPr>
          <w:rFonts w:hint="cs"/>
          <w:b/>
          <w:bCs/>
          <w:rtl/>
        </w:rPr>
        <w:t xml:space="preserve">סעיפים 12-11 </w:t>
      </w:r>
      <w:r w:rsidRPr="00511DF3">
        <w:rPr>
          <w:rtl/>
        </w:rPr>
        <w:t>–</w:t>
      </w:r>
      <w:r>
        <w:rPr>
          <w:rFonts w:hint="cs"/>
          <w:b/>
          <w:bCs/>
          <w:rtl/>
        </w:rPr>
        <w:t xml:space="preserve"> </w:t>
      </w:r>
      <w:r w:rsidRPr="0087282F">
        <w:rPr>
          <w:rtl/>
        </w:rPr>
        <w:t>מוצע לקבוע הוראות בדבר אופן</w:t>
      </w:r>
      <w:r>
        <w:rPr>
          <w:rtl/>
        </w:rPr>
        <w:t xml:space="preserve"> תשלום וגביית</w:t>
      </w:r>
      <w:r>
        <w:rPr>
          <w:rFonts w:hint="cs"/>
          <w:rtl/>
        </w:rPr>
        <w:t xml:space="preserve"> קנס ההפרה</w:t>
      </w:r>
      <w:r w:rsidRPr="0087282F">
        <w:rPr>
          <w:rtl/>
        </w:rPr>
        <w:t>, ככל שלא שילם אדם קנס במועד.</w:t>
      </w:r>
      <w:r>
        <w:rPr>
          <w:rFonts w:hint="cs"/>
          <w:rtl/>
        </w:rPr>
        <w:t xml:space="preserve"> ככלל, כיום חל ההסדר הקבוע</w:t>
      </w:r>
      <w:r w:rsidRPr="0087282F">
        <w:rPr>
          <w:rtl/>
        </w:rPr>
        <w:t xml:space="preserve"> </w:t>
      </w:r>
      <w:r>
        <w:rPr>
          <w:rFonts w:hint="cs"/>
          <w:rtl/>
        </w:rPr>
        <w:t>ב</w:t>
      </w:r>
      <w:r w:rsidRPr="0087282F">
        <w:rPr>
          <w:rtl/>
        </w:rPr>
        <w:t>סעיף 67 לחוק העונשין, התשל"ז-1977</w:t>
      </w:r>
      <w:r w:rsidRPr="0087282F">
        <w:rPr>
          <w:rStyle w:val="a9"/>
          <w:rFonts w:ascii="David" w:hAnsi="David"/>
          <w:rtl/>
        </w:rPr>
        <w:footnoteReference w:id="31"/>
      </w:r>
      <w:r w:rsidRPr="0087282F">
        <w:rPr>
          <w:rtl/>
        </w:rPr>
        <w:t xml:space="preserve">, </w:t>
      </w:r>
      <w:r>
        <w:rPr>
          <w:rFonts w:hint="cs"/>
          <w:rtl/>
        </w:rPr>
        <w:t>על</w:t>
      </w:r>
      <w:r w:rsidRPr="0087282F">
        <w:rPr>
          <w:rtl/>
        </w:rPr>
        <w:t xml:space="preserve"> לעבירות תעבורה מסוג "ברירת משפט"</w:t>
      </w:r>
      <w:r>
        <w:rPr>
          <w:rFonts w:hint="cs"/>
          <w:rtl/>
        </w:rPr>
        <w:t xml:space="preserve"> (ראו סעיפים 229(ב), (ו) ו-(ז) לחוק סדר הדין הפלילי)</w:t>
      </w:r>
      <w:r w:rsidRPr="0087282F">
        <w:rPr>
          <w:rtl/>
        </w:rPr>
        <w:t>.</w:t>
      </w:r>
      <w:r>
        <w:rPr>
          <w:rFonts w:hint="cs"/>
          <w:rtl/>
        </w:rPr>
        <w:t xml:space="preserve"> </w:t>
      </w:r>
      <w:r w:rsidR="00B15FDE">
        <w:rPr>
          <w:rFonts w:hint="cs"/>
          <w:rtl/>
        </w:rPr>
        <w:t xml:space="preserve">ההסדר המוצע, </w:t>
      </w:r>
      <w:r>
        <w:rPr>
          <w:rFonts w:hint="cs"/>
          <w:rtl/>
        </w:rPr>
        <w:t xml:space="preserve">נועד לקבוע מנגנון עצמאי, אשר </w:t>
      </w:r>
      <w:r w:rsidR="00766621">
        <w:rPr>
          <w:rFonts w:hint="cs"/>
          <w:rtl/>
        </w:rPr>
        <w:t xml:space="preserve">ייתן ביטוי, </w:t>
      </w:r>
      <w:r>
        <w:rPr>
          <w:rFonts w:hint="cs"/>
          <w:rtl/>
        </w:rPr>
        <w:t>מחד גיסא</w:t>
      </w:r>
      <w:r w:rsidR="00766621">
        <w:rPr>
          <w:rFonts w:hint="cs"/>
          <w:rtl/>
        </w:rPr>
        <w:t>,</w:t>
      </w:r>
      <w:r>
        <w:rPr>
          <w:rFonts w:hint="cs"/>
          <w:rtl/>
        </w:rPr>
        <w:t xml:space="preserve"> ל</w:t>
      </w:r>
      <w:r w:rsidR="00766621">
        <w:rPr>
          <w:rFonts w:hint="cs"/>
          <w:rtl/>
        </w:rPr>
        <w:t xml:space="preserve">מעבר מההליך הפלילי להליך </w:t>
      </w:r>
      <w:proofErr w:type="spellStart"/>
      <w:r w:rsidR="00766621">
        <w:rPr>
          <w:rFonts w:hint="cs"/>
          <w:rtl/>
        </w:rPr>
        <w:t>מינהלי</w:t>
      </w:r>
      <w:proofErr w:type="spellEnd"/>
      <w:r w:rsidR="00766621">
        <w:rPr>
          <w:rFonts w:hint="cs"/>
          <w:rtl/>
        </w:rPr>
        <w:t>,</w:t>
      </w:r>
      <w:r>
        <w:rPr>
          <w:rFonts w:hint="cs"/>
          <w:rtl/>
        </w:rPr>
        <w:t xml:space="preserve"> ומאידך גיסא</w:t>
      </w:r>
      <w:r w:rsidR="00766621">
        <w:rPr>
          <w:rFonts w:hint="cs"/>
          <w:rtl/>
        </w:rPr>
        <w:t>,</w:t>
      </w:r>
      <w:r>
        <w:rPr>
          <w:rFonts w:hint="cs"/>
          <w:rtl/>
        </w:rPr>
        <w:t xml:space="preserve"> לחומרת המעשים </w:t>
      </w:r>
      <w:r w:rsidR="00766621">
        <w:rPr>
          <w:rFonts w:hint="cs"/>
          <w:rtl/>
        </w:rPr>
        <w:t>בהם</w:t>
      </w:r>
      <w:r>
        <w:rPr>
          <w:rFonts w:hint="cs"/>
          <w:rtl/>
        </w:rPr>
        <w:t xml:space="preserve"> מדובר, כמפורט לעיל. </w:t>
      </w:r>
      <w:r w:rsidR="00766621">
        <w:rPr>
          <w:rFonts w:hint="cs"/>
          <w:rtl/>
        </w:rPr>
        <w:t>משכך מוצע, לקבוע תוספת פיגור בגובה 35% מן קנס ההפרה ומחלקו שלא שולם.</w:t>
      </w:r>
    </w:p>
    <w:p w:rsidR="000F0C37" w:rsidRDefault="000F0C37" w:rsidP="00511DF3">
      <w:pPr>
        <w:pStyle w:val="Hesber"/>
        <w:rPr>
          <w:color w:val="000000"/>
          <w:szCs w:val="20"/>
          <w:rtl/>
        </w:rPr>
      </w:pPr>
      <w:r w:rsidRPr="0087282F">
        <w:rPr>
          <w:rtl/>
        </w:rPr>
        <w:t>לפי חוק המרכז לגביית קנסות</w:t>
      </w:r>
      <w:r w:rsidR="00766621">
        <w:rPr>
          <w:rFonts w:hint="cs"/>
          <w:rtl/>
        </w:rPr>
        <w:t xml:space="preserve"> </w:t>
      </w:r>
      <w:r w:rsidRPr="0087282F">
        <w:rPr>
          <w:rtl/>
        </w:rPr>
        <w:t>"חוב" כולל גם "</w:t>
      </w:r>
      <w:r w:rsidRPr="0087282F">
        <w:rPr>
          <w:rStyle w:val="default"/>
          <w:color w:val="000000"/>
          <w:sz w:val="26"/>
          <w:rtl/>
        </w:rPr>
        <w:t xml:space="preserve">קנס בשל עבירה של ברירת משפט כמשמעותו בסעיף 228 לחוק סדר הדין הפלילי [נוסח משולב], תשמ"ב-1982". בשים לב להסדר החדש המוצע בגדר חוק זה, יש צורך לעגן במפורש את הסמכות של המרכז </w:t>
      </w:r>
      <w:r w:rsidRPr="0087282F">
        <w:rPr>
          <w:color w:val="000000"/>
          <w:sz w:val="26"/>
          <w:rtl/>
        </w:rPr>
        <w:t>לגביית קנסות, אגרות והוצאות</w:t>
      </w:r>
      <w:r>
        <w:rPr>
          <w:rStyle w:val="default"/>
          <w:rFonts w:hint="cs"/>
          <w:color w:val="000000"/>
          <w:sz w:val="26"/>
          <w:rtl/>
        </w:rPr>
        <w:t>, לגבות חוב בגין קנס הפרה</w:t>
      </w:r>
      <w:r w:rsidR="00766621">
        <w:rPr>
          <w:rStyle w:val="default"/>
          <w:rFonts w:hint="cs"/>
          <w:color w:val="000000"/>
          <w:sz w:val="26"/>
          <w:rtl/>
        </w:rPr>
        <w:t>. סעיף 12(ג) מבוסס על הוראות סעיף 27א1(יא) לפקודת התעבורה וסעיף 10 לחוק לייעול הפיקוח</w:t>
      </w:r>
      <w:r>
        <w:rPr>
          <w:rStyle w:val="default"/>
          <w:rFonts w:hint="cs"/>
          <w:color w:val="000000"/>
          <w:sz w:val="26"/>
          <w:rtl/>
        </w:rPr>
        <w:t>.</w:t>
      </w:r>
      <w:r w:rsidRPr="0087282F">
        <w:rPr>
          <w:rStyle w:val="default"/>
          <w:color w:val="000000"/>
          <w:sz w:val="26"/>
          <w:rtl/>
        </w:rPr>
        <w:t xml:space="preserve"> </w:t>
      </w:r>
    </w:p>
    <w:p w:rsidR="000F0C37" w:rsidRDefault="000F0C37" w:rsidP="00AB3999">
      <w:pPr>
        <w:pStyle w:val="Hesber"/>
        <w:tabs>
          <w:tab w:val="left" w:pos="424"/>
        </w:tabs>
        <w:ind w:firstLine="0"/>
        <w:rPr>
          <w:rtl/>
        </w:rPr>
      </w:pPr>
    </w:p>
    <w:p w:rsidR="00AB3999" w:rsidRDefault="00AB3999" w:rsidP="00AB3999">
      <w:pPr>
        <w:pStyle w:val="af4"/>
        <w:rPr>
          <w:color w:val="FF0000"/>
          <w:rtl/>
        </w:rPr>
      </w:pPr>
    </w:p>
    <w:p w:rsidR="00AB3999" w:rsidRDefault="00AB3999" w:rsidP="00283512">
      <w:pPr>
        <w:pStyle w:val="Hesber"/>
        <w:tabs>
          <w:tab w:val="left" w:pos="424"/>
        </w:tabs>
        <w:ind w:firstLine="0"/>
        <w:rPr>
          <w:b/>
          <w:bCs/>
          <w:rtl/>
        </w:rPr>
      </w:pPr>
      <w:r w:rsidRPr="00A453B8">
        <w:rPr>
          <w:rFonts w:hint="cs"/>
          <w:b/>
          <w:bCs/>
          <w:rtl/>
        </w:rPr>
        <w:t>פרק</w:t>
      </w:r>
      <w:r w:rsidRPr="00A453B8">
        <w:rPr>
          <w:b/>
          <w:bCs/>
          <w:rtl/>
        </w:rPr>
        <w:t xml:space="preserve"> </w:t>
      </w:r>
      <w:r w:rsidR="00766621" w:rsidRPr="00A453B8">
        <w:rPr>
          <w:rFonts w:hint="cs"/>
          <w:b/>
          <w:bCs/>
          <w:rtl/>
        </w:rPr>
        <w:t>ג</w:t>
      </w:r>
      <w:r w:rsidRPr="00A453B8">
        <w:rPr>
          <w:b/>
          <w:bCs/>
          <w:rtl/>
        </w:rPr>
        <w:t xml:space="preserve">': </w:t>
      </w:r>
      <w:r w:rsidRPr="00A453B8">
        <w:rPr>
          <w:rFonts w:hint="cs"/>
          <w:b/>
          <w:bCs/>
          <w:rtl/>
        </w:rPr>
        <w:t>בית</w:t>
      </w:r>
      <w:r w:rsidRPr="00A453B8">
        <w:rPr>
          <w:b/>
          <w:bCs/>
          <w:rtl/>
        </w:rPr>
        <w:t xml:space="preserve"> </w:t>
      </w:r>
      <w:r w:rsidRPr="00A453B8">
        <w:rPr>
          <w:rFonts w:hint="cs"/>
          <w:b/>
          <w:bCs/>
          <w:rtl/>
        </w:rPr>
        <w:t>דין</w:t>
      </w:r>
      <w:r w:rsidRPr="00A453B8">
        <w:rPr>
          <w:b/>
          <w:bCs/>
          <w:rtl/>
        </w:rPr>
        <w:t xml:space="preserve"> </w:t>
      </w:r>
      <w:r w:rsidRPr="00A453B8">
        <w:rPr>
          <w:rFonts w:hint="cs"/>
          <w:b/>
          <w:bCs/>
          <w:rtl/>
        </w:rPr>
        <w:t>לתעבורה</w:t>
      </w:r>
    </w:p>
    <w:p w:rsidR="00AB3999" w:rsidRPr="006D5CFF" w:rsidRDefault="00AB3999" w:rsidP="00511DF3">
      <w:pPr>
        <w:pStyle w:val="Hesber1st"/>
        <w:tabs>
          <w:tab w:val="clear" w:pos="680"/>
        </w:tabs>
      </w:pPr>
      <w:r w:rsidRPr="006D5CFF">
        <w:rPr>
          <w:rFonts w:hint="cs"/>
          <w:b/>
          <w:bCs/>
          <w:rtl/>
        </w:rPr>
        <w:t xml:space="preserve">סעיף </w:t>
      </w:r>
      <w:r w:rsidR="00EF7F4A">
        <w:rPr>
          <w:rFonts w:hint="cs"/>
          <w:b/>
          <w:bCs/>
          <w:rtl/>
        </w:rPr>
        <w:t>13</w:t>
      </w:r>
      <w:r w:rsidR="00EF7F4A" w:rsidRPr="006D5CFF">
        <w:rPr>
          <w:rFonts w:hint="cs"/>
          <w:b/>
          <w:bCs/>
          <w:rtl/>
        </w:rPr>
        <w:t xml:space="preserve"> </w:t>
      </w:r>
      <w:r w:rsidRPr="00511DF3">
        <w:rPr>
          <w:rtl/>
        </w:rPr>
        <w:t>–</w:t>
      </w:r>
      <w:r w:rsidRPr="006D5CFF">
        <w:rPr>
          <w:rFonts w:hint="cs"/>
          <w:b/>
          <w:bCs/>
          <w:rtl/>
        </w:rPr>
        <w:t xml:space="preserve"> </w:t>
      </w:r>
      <w:r w:rsidRPr="006D5CFF">
        <w:rPr>
          <w:rFonts w:hint="cs"/>
          <w:rtl/>
        </w:rPr>
        <w:t xml:space="preserve">מוצע להקים בית דין </w:t>
      </w:r>
      <w:proofErr w:type="spellStart"/>
      <w:r w:rsidRPr="006D5CFF">
        <w:rPr>
          <w:rFonts w:hint="cs"/>
          <w:rtl/>
        </w:rPr>
        <w:t>מינהלי</w:t>
      </w:r>
      <w:proofErr w:type="spellEnd"/>
      <w:r w:rsidRPr="006D5CFF">
        <w:rPr>
          <w:rFonts w:hint="cs"/>
          <w:rtl/>
        </w:rPr>
        <w:t xml:space="preserve"> לתעבורה בהתאם </w:t>
      </w:r>
      <w:r>
        <w:rPr>
          <w:rFonts w:hint="cs"/>
          <w:rtl/>
        </w:rPr>
        <w:t>להמלצות הצוות, ובהתבסס על ה</w:t>
      </w:r>
      <w:r w:rsidRPr="006D5CFF">
        <w:rPr>
          <w:rFonts w:hint="cs"/>
          <w:rtl/>
        </w:rPr>
        <w:t>עקרונות המפורטים ב</w:t>
      </w:r>
      <w:r>
        <w:rPr>
          <w:rFonts w:hint="cs"/>
          <w:rtl/>
        </w:rPr>
        <w:t xml:space="preserve">חוק בתי דין </w:t>
      </w:r>
      <w:proofErr w:type="spellStart"/>
      <w:r>
        <w:rPr>
          <w:rFonts w:hint="cs"/>
          <w:rtl/>
        </w:rPr>
        <w:t>מינהליים</w:t>
      </w:r>
      <w:proofErr w:type="spellEnd"/>
      <w:r w:rsidRPr="006D5CFF">
        <w:rPr>
          <w:rFonts w:hint="cs"/>
          <w:rtl/>
        </w:rPr>
        <w:t xml:space="preserve"> </w:t>
      </w:r>
      <w:r>
        <w:rPr>
          <w:rFonts w:hint="cs"/>
          <w:rtl/>
        </w:rPr>
        <w:t>ו</w:t>
      </w:r>
      <w:r w:rsidR="00A453B8">
        <w:rPr>
          <w:rFonts w:hint="cs"/>
          <w:rtl/>
        </w:rPr>
        <w:t>ב</w:t>
      </w:r>
      <w:r w:rsidRPr="006D5CFF">
        <w:rPr>
          <w:rFonts w:hint="cs"/>
          <w:rtl/>
        </w:rPr>
        <w:t>הנחיית היועץ המשפטי לממשלה</w:t>
      </w:r>
      <w:r w:rsidR="00A453B8">
        <w:rPr>
          <w:rFonts w:hint="cs"/>
          <w:rtl/>
        </w:rPr>
        <w:t xml:space="preserve"> מס'</w:t>
      </w:r>
      <w:r w:rsidRPr="006D5CFF">
        <w:rPr>
          <w:rFonts w:hint="cs"/>
          <w:rtl/>
        </w:rPr>
        <w:t xml:space="preserve"> 2.3203 בנושא "המדיניות לגבי הקמת בתי דין </w:t>
      </w:r>
      <w:proofErr w:type="spellStart"/>
      <w:r w:rsidRPr="00EF7F4A">
        <w:rPr>
          <w:rFonts w:hint="cs"/>
          <w:rtl/>
        </w:rPr>
        <w:t>מינהליים</w:t>
      </w:r>
      <w:proofErr w:type="spellEnd"/>
      <w:r w:rsidRPr="006D5CFF">
        <w:rPr>
          <w:rFonts w:hint="cs"/>
          <w:rtl/>
        </w:rPr>
        <w:t xml:space="preserve">". </w:t>
      </w:r>
      <w:r>
        <w:rPr>
          <w:rFonts w:hint="cs"/>
          <w:rtl/>
        </w:rPr>
        <w:t xml:space="preserve">בענייננו, ובהתאם לעקרונות הקבועים בהנחיית היועץ המשפטי לממשלה, מוצע להסמיך את בית הדין לתעבורה לדון בנושאים ספציפיים, </w:t>
      </w:r>
      <w:r w:rsidRPr="006D5CFF">
        <w:rPr>
          <w:rFonts w:hint="cs"/>
          <w:rtl/>
        </w:rPr>
        <w:t xml:space="preserve">אשר מבוססים על מערכת עובדות שאיננה מורכבת </w:t>
      </w:r>
      <w:r w:rsidR="00A453B8">
        <w:rPr>
          <w:rFonts w:hint="cs"/>
          <w:rtl/>
        </w:rPr>
        <w:t>באופן יחסי</w:t>
      </w:r>
      <w:r>
        <w:rPr>
          <w:rFonts w:hint="cs"/>
          <w:rtl/>
        </w:rPr>
        <w:t xml:space="preserve">; לאחר שנמצא כי </w:t>
      </w:r>
      <w:r w:rsidRPr="006D5CFF">
        <w:rPr>
          <w:rFonts w:hint="cs"/>
          <w:rtl/>
        </w:rPr>
        <w:t xml:space="preserve">היקף ההליכים הצפוי מצדיק את הקמת בית הדין; וכאשר העברת הנושאים לטיפולו של בית הדין תקל על העומס במערכת השפיטה. </w:t>
      </w:r>
    </w:p>
    <w:p w:rsidR="00AB3999" w:rsidRPr="00C14E3E" w:rsidRDefault="00AB3999" w:rsidP="00511DF3">
      <w:pPr>
        <w:pStyle w:val="Hesber"/>
        <w:rPr>
          <w:rtl/>
        </w:rPr>
      </w:pPr>
      <w:r w:rsidRPr="00C14E3E">
        <w:rPr>
          <w:rFonts w:hint="cs"/>
          <w:rtl/>
        </w:rPr>
        <w:t xml:space="preserve">בית הדין ידון ב"דן יחיד", ולאור מתכונתו הייחודית הדיגיטלית של בית דין לתעבורה, על פניו נראה כי בית הדין יוכל לפעול לפי סמכות שיפוט של כל שטח המדינה, פרט למקרים החריגים בהם יידרש דיון פרונטלי. יצוין, כי סוגית הסמכות המקומית תוסדר באופן מסודר במסגרת התקנות שייקבעו לפי סעיף </w:t>
      </w:r>
      <w:r w:rsidR="00C14E3E">
        <w:rPr>
          <w:rFonts w:hint="cs"/>
          <w:rtl/>
        </w:rPr>
        <w:t>35</w:t>
      </w:r>
      <w:r w:rsidRPr="00C14E3E">
        <w:rPr>
          <w:rFonts w:hint="cs"/>
          <w:rtl/>
        </w:rPr>
        <w:t>(</w:t>
      </w:r>
      <w:r w:rsidR="00C14E3E">
        <w:rPr>
          <w:rFonts w:hint="cs"/>
          <w:rtl/>
        </w:rPr>
        <w:t>1</w:t>
      </w:r>
      <w:r w:rsidRPr="00C14E3E">
        <w:rPr>
          <w:rFonts w:hint="cs"/>
          <w:rtl/>
        </w:rPr>
        <w:t>) לחוק המוצע.</w:t>
      </w:r>
    </w:p>
    <w:p w:rsidR="00AB3999" w:rsidRPr="00C14E3E" w:rsidRDefault="00AB3999" w:rsidP="00511DF3">
      <w:pPr>
        <w:pStyle w:val="Hesber"/>
        <w:rPr>
          <w:rtl/>
        </w:rPr>
      </w:pPr>
      <w:r w:rsidRPr="00C14E3E">
        <w:rPr>
          <w:rFonts w:hint="cs"/>
          <w:rtl/>
        </w:rPr>
        <w:t xml:space="preserve">בנוסף, ובהתאם להמלצות הצוות, מוצע כי בית דין לתעבורה </w:t>
      </w:r>
      <w:r w:rsidR="00C14E3E">
        <w:rPr>
          <w:rFonts w:hint="cs"/>
          <w:rtl/>
        </w:rPr>
        <w:t>י</w:t>
      </w:r>
      <w:r w:rsidRPr="00C14E3E">
        <w:rPr>
          <w:rFonts w:hint="cs"/>
          <w:rtl/>
        </w:rPr>
        <w:t xml:space="preserve">וקם תחת משרד המשפטים, וזאת ממספר טעמים: ראשית, בית דין </w:t>
      </w:r>
      <w:proofErr w:type="spellStart"/>
      <w:r w:rsidRPr="00C14E3E">
        <w:rPr>
          <w:rFonts w:hint="cs"/>
          <w:rtl/>
        </w:rPr>
        <w:t>מינהלי</w:t>
      </w:r>
      <w:proofErr w:type="spellEnd"/>
      <w:r w:rsidRPr="00C14E3E">
        <w:rPr>
          <w:rFonts w:hint="cs"/>
          <w:rtl/>
        </w:rPr>
        <w:t>, מעצם טבעו כגוף בלתי-תלוי,</w:t>
      </w:r>
      <w:r w:rsidRPr="00C14E3E">
        <w:rPr>
          <w:vertAlign w:val="superscript"/>
          <w:rtl/>
        </w:rPr>
        <w:footnoteReference w:id="32"/>
      </w:r>
      <w:r w:rsidRPr="00C14E3E">
        <w:rPr>
          <w:rFonts w:hint="cs"/>
          <w:vertAlign w:val="superscript"/>
          <w:rtl/>
        </w:rPr>
        <w:t xml:space="preserve"> </w:t>
      </w:r>
      <w:r w:rsidRPr="00C14E3E">
        <w:rPr>
          <w:rFonts w:hint="cs"/>
          <w:rtl/>
        </w:rPr>
        <w:t xml:space="preserve">נדרש לעצמאות מוסדית מהגורמים שקיבלו את ההחלטה </w:t>
      </w:r>
      <w:proofErr w:type="spellStart"/>
      <w:r w:rsidRPr="00C14E3E">
        <w:rPr>
          <w:rFonts w:hint="cs"/>
          <w:rtl/>
        </w:rPr>
        <w:t>המינהלית</w:t>
      </w:r>
      <w:proofErr w:type="spellEnd"/>
      <w:r w:rsidRPr="00C14E3E">
        <w:rPr>
          <w:rFonts w:hint="cs"/>
          <w:rtl/>
        </w:rPr>
        <w:t xml:space="preserve"> </w:t>
      </w:r>
      <w:r w:rsidR="00C14E3E">
        <w:rPr>
          <w:rFonts w:hint="cs"/>
          <w:rtl/>
        </w:rPr>
        <w:t>בדבר מתן הודעת תשלום</w:t>
      </w:r>
      <w:r w:rsidRPr="00C14E3E">
        <w:rPr>
          <w:rFonts w:hint="cs"/>
          <w:rtl/>
        </w:rPr>
        <w:t xml:space="preserve">; שנית, משרד המשפטים הוא בעל ניסיון משמעותי בהקמה וניהול של בתי דין </w:t>
      </w:r>
      <w:proofErr w:type="spellStart"/>
      <w:r w:rsidRPr="00C14E3E">
        <w:rPr>
          <w:rFonts w:hint="cs"/>
          <w:rtl/>
        </w:rPr>
        <w:t>מינהליים</w:t>
      </w:r>
      <w:proofErr w:type="spellEnd"/>
      <w:r w:rsidRPr="00C14E3E">
        <w:rPr>
          <w:rFonts w:hint="cs"/>
          <w:rtl/>
        </w:rPr>
        <w:t xml:space="preserve"> וועדות ערר שונות; ושלישית, כיום נושא התעבורה מתנהל על-ידי התביעה המשטרתית והפרקליטות (המנהלת את התיקים החמורים בהליך העיקרי ואת הערעורים על התיקים שמנהלת התביעה המשטרתית), ולא נראה נכון להכניס לתוך ההליך גורם ממשלתי נוסף, הצפוי לסרבל את הטיפול בתחום. </w:t>
      </w:r>
    </w:p>
    <w:p w:rsidR="00AB3999" w:rsidRDefault="00AB3999" w:rsidP="00AB3999">
      <w:pPr>
        <w:pStyle w:val="Hesber"/>
        <w:tabs>
          <w:tab w:val="left" w:pos="424"/>
        </w:tabs>
        <w:ind w:firstLine="0"/>
        <w:rPr>
          <w:sz w:val="26"/>
          <w:rtl/>
        </w:rPr>
      </w:pPr>
    </w:p>
    <w:p w:rsidR="0002257B" w:rsidRDefault="00AB3999" w:rsidP="00B15FDE">
      <w:pPr>
        <w:pStyle w:val="Hesber1st"/>
        <w:tabs>
          <w:tab w:val="clear" w:pos="680"/>
        </w:tabs>
        <w:rPr>
          <w:rtl/>
        </w:rPr>
      </w:pPr>
      <w:r>
        <w:rPr>
          <w:rFonts w:hint="cs"/>
          <w:b/>
          <w:bCs/>
          <w:rtl/>
        </w:rPr>
        <w:t xml:space="preserve">סעיפים </w:t>
      </w:r>
      <w:r w:rsidR="00C14E3E">
        <w:rPr>
          <w:rFonts w:hint="cs"/>
          <w:b/>
          <w:bCs/>
          <w:rtl/>
        </w:rPr>
        <w:t xml:space="preserve">17-14 </w:t>
      </w:r>
      <w:r w:rsidRPr="00511DF3">
        <w:rPr>
          <w:rtl/>
        </w:rPr>
        <w:t>–</w:t>
      </w:r>
      <w:r>
        <w:rPr>
          <w:rFonts w:hint="cs"/>
          <w:rtl/>
        </w:rPr>
        <w:t xml:space="preserve"> </w:t>
      </w:r>
      <w:r w:rsidR="00C14E3E">
        <w:rPr>
          <w:rFonts w:hint="cs"/>
          <w:rtl/>
        </w:rPr>
        <w:t xml:space="preserve">במסגרת </w:t>
      </w:r>
      <w:r>
        <w:rPr>
          <w:rFonts w:hint="cs"/>
          <w:rtl/>
        </w:rPr>
        <w:t xml:space="preserve">סעיפים אלו </w:t>
      </w:r>
      <w:r w:rsidR="00C14E3E">
        <w:rPr>
          <w:rFonts w:hint="cs"/>
          <w:rtl/>
        </w:rPr>
        <w:t>מוצע להסדיר את אופן</w:t>
      </w:r>
      <w:r>
        <w:rPr>
          <w:rFonts w:hint="cs"/>
          <w:rtl/>
        </w:rPr>
        <w:t xml:space="preserve"> מינוי דיינים וראש בית דין לתעבורה</w:t>
      </w:r>
      <w:r w:rsidR="00C14E3E">
        <w:rPr>
          <w:rFonts w:hint="cs"/>
          <w:rtl/>
        </w:rPr>
        <w:t xml:space="preserve"> וכן את אופן הפסקת כהונתם</w:t>
      </w:r>
      <w:r>
        <w:rPr>
          <w:rFonts w:hint="cs"/>
          <w:rtl/>
        </w:rPr>
        <w:t xml:space="preserve">. הוראות סעיפים אלו </w:t>
      </w:r>
      <w:r w:rsidRPr="00EF7F4A">
        <w:rPr>
          <w:rFonts w:hint="cs"/>
          <w:rtl/>
        </w:rPr>
        <w:t>נועדו</w:t>
      </w:r>
      <w:r>
        <w:rPr>
          <w:rFonts w:hint="cs"/>
          <w:rtl/>
        </w:rPr>
        <w:t xml:space="preserve"> להבטיח את עצמאות ואי-תלות הדיינים וראש בית דין לתעבורה, וזאת בהתאם לסעיף 3 לחוק בתי דין </w:t>
      </w:r>
      <w:proofErr w:type="spellStart"/>
      <w:r>
        <w:rPr>
          <w:rFonts w:hint="cs"/>
          <w:rtl/>
        </w:rPr>
        <w:t>מינהליים</w:t>
      </w:r>
      <w:proofErr w:type="spellEnd"/>
      <w:r>
        <w:rPr>
          <w:rFonts w:hint="cs"/>
          <w:rtl/>
        </w:rPr>
        <w:t xml:space="preserve"> ולפיו "בענייני שפיטה אין מרות על חבר בית דין זולת מרותו של הדיין". בהתאם, מוצע כי הדיינים וראש בית הדין ימונו על פי בחירת ועד</w:t>
      </w:r>
      <w:r w:rsidR="00B15FDE">
        <w:rPr>
          <w:rFonts w:hint="cs"/>
          <w:rtl/>
        </w:rPr>
        <w:t>ה</w:t>
      </w:r>
      <w:r>
        <w:rPr>
          <w:rFonts w:hint="cs"/>
          <w:rtl/>
        </w:rPr>
        <w:t xml:space="preserve">, וזאת כפי שנעשה במינוי דיינים גם לבתי דין </w:t>
      </w:r>
      <w:proofErr w:type="spellStart"/>
      <w:r>
        <w:rPr>
          <w:rFonts w:hint="cs"/>
          <w:rtl/>
        </w:rPr>
        <w:t>מינהליים</w:t>
      </w:r>
      <w:proofErr w:type="spellEnd"/>
      <w:r>
        <w:rPr>
          <w:rFonts w:hint="cs"/>
          <w:rtl/>
        </w:rPr>
        <w:t xml:space="preserve"> אחרים (ראו, למשל, סעיפים 13יא(א1) ו-13כג(ב) לחוק הכניסה לישראל, התשי"ב-1952</w:t>
      </w:r>
      <w:r>
        <w:rPr>
          <w:rStyle w:val="a9"/>
          <w:rtl/>
        </w:rPr>
        <w:footnoteReference w:id="33"/>
      </w:r>
      <w:r>
        <w:rPr>
          <w:rFonts w:hint="cs"/>
          <w:rtl/>
        </w:rPr>
        <w:t xml:space="preserve"> (להלן: </w:t>
      </w:r>
      <w:r>
        <w:rPr>
          <w:rFonts w:hint="cs"/>
          <w:b/>
          <w:bCs/>
          <w:rtl/>
        </w:rPr>
        <w:t>חוק הכניסה לישראל</w:t>
      </w:r>
      <w:r>
        <w:rPr>
          <w:rFonts w:hint="cs"/>
          <w:rtl/>
        </w:rPr>
        <w:t xml:space="preserve">)). עוד מוצע, כי הדיינים וראש בית דין לתעבורה ימונו לתקופת כהונה אחת בת שבע שנים. הוראה זו תואמת את הרציונאליים העומדים בבסיס החלטת ממשלה 4062 בנושא "קביעת תקופת כהונתם של נושאי משרה בכירים בשירות המדינה" מיום 7.9.2008 והחלטת ממשלה 4470 בנושא "רשימת </w:t>
      </w:r>
      <w:r w:rsidRPr="005D3C17">
        <w:rPr>
          <w:rtl/>
        </w:rPr>
        <w:t xml:space="preserve">המשרות הבכירות בשירות המדינה עליהן יחול ההסדר בדבר קביעת תקופת כהונה ומשך תקופת הכהונה או </w:t>
      </w:r>
      <w:proofErr w:type="spellStart"/>
      <w:r w:rsidRPr="005D3C17">
        <w:rPr>
          <w:rtl/>
        </w:rPr>
        <w:t>הפז"מ</w:t>
      </w:r>
      <w:proofErr w:type="spellEnd"/>
      <w:r w:rsidRPr="005D3C17">
        <w:rPr>
          <w:rtl/>
        </w:rPr>
        <w:t xml:space="preserve"> שנקבעה לגבי כל משרה</w:t>
      </w:r>
      <w:r>
        <w:rPr>
          <w:rFonts w:hint="cs"/>
          <w:rtl/>
        </w:rPr>
        <w:t xml:space="preserve">" מיום 8.2.2009, במסגרתן נקבע, כי במשרות בהן </w:t>
      </w:r>
      <w:r w:rsidR="00C14E3E">
        <w:rPr>
          <w:rFonts w:hint="cs"/>
          <w:rtl/>
        </w:rPr>
        <w:t>ל</w:t>
      </w:r>
      <w:r>
        <w:rPr>
          <w:rFonts w:hint="cs"/>
          <w:rtl/>
        </w:rPr>
        <w:t>עצמאות ולאי התלות של נושא המשרה חשיבות מיוחדת, כגון משרות שהנושאים בהן ממונים על אכיפת החוק, טוהר מידות ורגולציה, ימונו לתקופת כהונה אחת שאינה ניתנת להארכה.</w:t>
      </w:r>
      <w:r w:rsidR="0002257B">
        <w:rPr>
          <w:rFonts w:hint="cs"/>
          <w:rtl/>
        </w:rPr>
        <w:t xml:space="preserve"> </w:t>
      </w:r>
    </w:p>
    <w:p w:rsidR="00AB3999" w:rsidRDefault="0002257B" w:rsidP="00511DF3">
      <w:pPr>
        <w:pStyle w:val="Hesber"/>
        <w:rPr>
          <w:rtl/>
        </w:rPr>
      </w:pPr>
      <w:r>
        <w:rPr>
          <w:rFonts w:hint="cs"/>
          <w:rtl/>
        </w:rPr>
        <w:t xml:space="preserve">בכל הנוגע להפסקת כהונה לפני תום תקופת הכהונה, </w:t>
      </w:r>
      <w:r w:rsidR="005A1F39">
        <w:rPr>
          <w:rtl/>
        </w:rPr>
        <w:t>כדי לחזק את אי</w:t>
      </w:r>
      <w:r w:rsidR="005A1F39">
        <w:rPr>
          <w:rFonts w:hint="cs"/>
          <w:rtl/>
        </w:rPr>
        <w:t>-</w:t>
      </w:r>
      <w:r w:rsidR="005A1F39">
        <w:rPr>
          <w:rtl/>
        </w:rPr>
        <w:t xml:space="preserve">תלותם של </w:t>
      </w:r>
      <w:r w:rsidR="005A1F39">
        <w:rPr>
          <w:rFonts w:hint="cs"/>
          <w:rtl/>
        </w:rPr>
        <w:t>הדיינים</w:t>
      </w:r>
      <w:r w:rsidR="005A1F39">
        <w:rPr>
          <w:rtl/>
        </w:rPr>
        <w:t xml:space="preserve"> ואת מרותם להוראות הדין בלבד, מוצע להסדיר בחוק את העילות לסיום כהונת</w:t>
      </w:r>
      <w:r w:rsidR="005A1F39">
        <w:rPr>
          <w:rFonts w:hint="cs"/>
          <w:rtl/>
        </w:rPr>
        <w:t>ם</w:t>
      </w:r>
      <w:r w:rsidR="005A1F39">
        <w:rPr>
          <w:rtl/>
        </w:rPr>
        <w:t>. העילות הקבועות בסעיף המוצע דומות לאלה הנהוגות לגבי שופטים, בסעיף 7 לחוק</w:t>
      </w:r>
      <w:r w:rsidR="005A1F39">
        <w:rPr>
          <w:rFonts w:hint="cs"/>
          <w:rtl/>
        </w:rPr>
        <w:t>-</w:t>
      </w:r>
      <w:r w:rsidR="005A1F39">
        <w:rPr>
          <w:rtl/>
        </w:rPr>
        <w:t>יסוד: השפיטה</w:t>
      </w:r>
      <w:r w:rsidR="005A1F39">
        <w:rPr>
          <w:rFonts w:hint="cs"/>
          <w:rtl/>
        </w:rPr>
        <w:t>. בכל הנוגע להחלטת ועדה כמשמעה בסעיפים 14(א) ו-(ב) לחוק המוצע, עילה זו</w:t>
      </w:r>
      <w:r>
        <w:rPr>
          <w:rFonts w:hint="cs"/>
          <w:rtl/>
        </w:rPr>
        <w:t xml:space="preserve"> מתכתב</w:t>
      </w:r>
      <w:r w:rsidR="005A1F39">
        <w:rPr>
          <w:rFonts w:hint="cs"/>
          <w:rtl/>
        </w:rPr>
        <w:t>ת</w:t>
      </w:r>
      <w:r>
        <w:rPr>
          <w:rFonts w:hint="cs"/>
          <w:rtl/>
        </w:rPr>
        <w:t xml:space="preserve"> עם התיקון המוצע לחוק בתי דין </w:t>
      </w:r>
      <w:proofErr w:type="spellStart"/>
      <w:r>
        <w:rPr>
          <w:rFonts w:hint="cs"/>
          <w:rtl/>
        </w:rPr>
        <w:t>מינהליים</w:t>
      </w:r>
      <w:proofErr w:type="spellEnd"/>
      <w:r>
        <w:rPr>
          <w:rFonts w:hint="cs"/>
          <w:rtl/>
        </w:rPr>
        <w:t xml:space="preserve">, אשר מציע למנות </w:t>
      </w:r>
      <w:r w:rsidRPr="00C744C7">
        <w:rPr>
          <w:rFonts w:ascii="David" w:hAnsi="David"/>
          <w:sz w:val="26"/>
          <w:rtl/>
        </w:rPr>
        <w:t xml:space="preserve">אחראי על בירור תלונות </w:t>
      </w:r>
      <w:r w:rsidRPr="00C744C7">
        <w:rPr>
          <w:rFonts w:ascii="David" w:hAnsi="David" w:hint="cs"/>
          <w:sz w:val="26"/>
          <w:rtl/>
        </w:rPr>
        <w:t xml:space="preserve">נגד </w:t>
      </w:r>
      <w:r>
        <w:rPr>
          <w:rFonts w:ascii="David" w:hAnsi="David" w:hint="cs"/>
          <w:sz w:val="26"/>
          <w:rtl/>
        </w:rPr>
        <w:t>חבר בית דין</w:t>
      </w:r>
      <w:r w:rsidRPr="00C744C7">
        <w:rPr>
          <w:rFonts w:ascii="David" w:hAnsi="David" w:hint="cs"/>
          <w:sz w:val="26"/>
          <w:rtl/>
        </w:rPr>
        <w:t xml:space="preserve"> או </w:t>
      </w:r>
      <w:r>
        <w:rPr>
          <w:rFonts w:ascii="David" w:hAnsi="David" w:hint="cs"/>
          <w:sz w:val="26"/>
          <w:rtl/>
        </w:rPr>
        <w:t xml:space="preserve">כל גורם שיפוטי ומעין-שיפוטי אחר </w:t>
      </w:r>
      <w:r>
        <w:rPr>
          <w:rFonts w:hint="cs"/>
          <w:rtl/>
        </w:rPr>
        <w:t>(ראו סעיף 36 לחוק המוצע).</w:t>
      </w:r>
    </w:p>
    <w:p w:rsidR="00AB3999" w:rsidRDefault="00AB3999" w:rsidP="00AB3999">
      <w:pPr>
        <w:pStyle w:val="Hesber"/>
        <w:tabs>
          <w:tab w:val="left" w:pos="424"/>
        </w:tabs>
        <w:ind w:firstLine="0"/>
        <w:rPr>
          <w:sz w:val="26"/>
          <w:rtl/>
        </w:rPr>
      </w:pPr>
    </w:p>
    <w:p w:rsidR="00577AB6" w:rsidRDefault="00AB3999" w:rsidP="000A10D4">
      <w:pPr>
        <w:pStyle w:val="Hesber1st"/>
        <w:tabs>
          <w:tab w:val="clear" w:pos="680"/>
        </w:tabs>
        <w:rPr>
          <w:rtl/>
        </w:rPr>
      </w:pPr>
      <w:r>
        <w:rPr>
          <w:rFonts w:hint="cs"/>
          <w:b/>
          <w:bCs/>
          <w:sz w:val="26"/>
          <w:rtl/>
        </w:rPr>
        <w:t xml:space="preserve">סעיף </w:t>
      </w:r>
      <w:r w:rsidR="00C14E3E">
        <w:rPr>
          <w:rFonts w:hint="cs"/>
          <w:b/>
          <w:bCs/>
          <w:sz w:val="26"/>
          <w:rtl/>
        </w:rPr>
        <w:t xml:space="preserve">18 </w:t>
      </w:r>
      <w:r w:rsidRPr="00511DF3">
        <w:rPr>
          <w:sz w:val="26"/>
          <w:rtl/>
        </w:rPr>
        <w:t>–</w:t>
      </w:r>
      <w:r>
        <w:rPr>
          <w:rFonts w:hint="cs"/>
          <w:b/>
          <w:bCs/>
          <w:sz w:val="26"/>
          <w:rtl/>
        </w:rPr>
        <w:t xml:space="preserve"> </w:t>
      </w:r>
      <w:r>
        <w:rPr>
          <w:rFonts w:hint="cs"/>
          <w:sz w:val="26"/>
          <w:rtl/>
        </w:rPr>
        <w:t xml:space="preserve">במסגרת סעיף זה מוצע לקבוע את סמכות ראש בית הדין. מוצע, </w:t>
      </w:r>
      <w:r>
        <w:rPr>
          <w:rFonts w:hint="cs"/>
          <w:rtl/>
        </w:rPr>
        <w:t xml:space="preserve">להסמיך את ראש בית הדין להיות אחראי </w:t>
      </w:r>
      <w:r w:rsidRPr="00EF7F4A">
        <w:rPr>
          <w:rFonts w:hint="cs"/>
          <w:rtl/>
        </w:rPr>
        <w:t>בפני</w:t>
      </w:r>
      <w:r>
        <w:rPr>
          <w:rFonts w:hint="cs"/>
          <w:rtl/>
        </w:rPr>
        <w:t xml:space="preserve"> שר </w:t>
      </w:r>
      <w:r w:rsidRPr="0002257B">
        <w:rPr>
          <w:rFonts w:hint="cs"/>
          <w:rtl/>
        </w:rPr>
        <w:t>המשפטים</w:t>
      </w:r>
      <w:r>
        <w:rPr>
          <w:rFonts w:hint="cs"/>
          <w:rtl/>
        </w:rPr>
        <w:t xml:space="preserve"> על ביצוע</w:t>
      </w:r>
      <w:r w:rsidR="0002257B">
        <w:rPr>
          <w:rFonts w:hint="cs"/>
          <w:rtl/>
        </w:rPr>
        <w:t>ם</w:t>
      </w:r>
      <w:r>
        <w:rPr>
          <w:rFonts w:hint="cs"/>
          <w:rtl/>
        </w:rPr>
        <w:t xml:space="preserve"> של סדרי הדין </w:t>
      </w:r>
      <w:proofErr w:type="spellStart"/>
      <w:r>
        <w:rPr>
          <w:rFonts w:hint="cs"/>
          <w:rtl/>
        </w:rPr>
        <w:t>והמינהל</w:t>
      </w:r>
      <w:proofErr w:type="spellEnd"/>
      <w:r>
        <w:rPr>
          <w:rFonts w:hint="cs"/>
          <w:rtl/>
        </w:rPr>
        <w:t xml:space="preserve"> של בית דין לתעבורה, וזאת בדומה לסמכויות המוקנות למנהל בתי המשפט מכוח חוק בתי המשפט [נוסח משולב], התשמ"ד-1984</w:t>
      </w:r>
      <w:r>
        <w:rPr>
          <w:rStyle w:val="a9"/>
          <w:rtl/>
        </w:rPr>
        <w:footnoteReference w:id="34"/>
      </w:r>
      <w:r>
        <w:rPr>
          <w:rFonts w:hint="cs"/>
          <w:rtl/>
        </w:rPr>
        <w:t xml:space="preserve"> (להלן: </w:t>
      </w:r>
      <w:r>
        <w:rPr>
          <w:rFonts w:hint="cs"/>
          <w:b/>
          <w:bCs/>
          <w:rtl/>
        </w:rPr>
        <w:t>"חוק בתי המשפט</w:t>
      </w:r>
      <w:r>
        <w:rPr>
          <w:rFonts w:hint="cs"/>
          <w:rtl/>
        </w:rPr>
        <w:t xml:space="preserve">") (ראו סעיף 82 לחוק בתי המשפט). לשם כך, מוצע </w:t>
      </w:r>
      <w:r w:rsidR="0002257B">
        <w:rPr>
          <w:rFonts w:hint="cs"/>
          <w:rtl/>
        </w:rPr>
        <w:t>להקנות ל</w:t>
      </w:r>
      <w:r>
        <w:rPr>
          <w:rFonts w:hint="cs"/>
          <w:rtl/>
        </w:rPr>
        <w:t xml:space="preserve">ראש בית הדין </w:t>
      </w:r>
      <w:r w:rsidR="0002257B">
        <w:rPr>
          <w:rFonts w:hint="cs"/>
          <w:rtl/>
        </w:rPr>
        <w:t>סמכות לקבוע הוראות מפורטות בעניינים המנויים במסגרת הסעיף וכן בעניינים נוספים, אשר יקבעו בתקנות.</w:t>
      </w:r>
      <w:r>
        <w:rPr>
          <w:rFonts w:hint="cs"/>
          <w:rtl/>
        </w:rPr>
        <w:t xml:space="preserve"> </w:t>
      </w:r>
      <w:r w:rsidR="00577AB6">
        <w:rPr>
          <w:rFonts w:hint="cs"/>
          <w:rtl/>
        </w:rPr>
        <w:t xml:space="preserve">עניינים אלו, הגם שמשפיעים על ציבור המתדיינים, נוגעים לתפקודו השוטף והיומיומי של בית הדין לתעבורה, ונראה כי </w:t>
      </w:r>
      <w:r w:rsidR="0002257B">
        <w:rPr>
          <w:rFonts w:hint="cs"/>
          <w:rtl/>
        </w:rPr>
        <w:t>ראש בית הדין</w:t>
      </w:r>
      <w:r w:rsidR="00577AB6">
        <w:rPr>
          <w:rFonts w:hint="cs"/>
          <w:rtl/>
        </w:rPr>
        <w:t>,</w:t>
      </w:r>
      <w:r w:rsidR="0002257B">
        <w:rPr>
          <w:rFonts w:hint="cs"/>
          <w:rtl/>
        </w:rPr>
        <w:t xml:space="preserve"> </w:t>
      </w:r>
      <w:r>
        <w:rPr>
          <w:rFonts w:hint="cs"/>
          <w:rtl/>
        </w:rPr>
        <w:t xml:space="preserve">כמי שעומד בראש </w:t>
      </w:r>
      <w:r w:rsidR="0002257B">
        <w:rPr>
          <w:rFonts w:hint="cs"/>
          <w:rtl/>
        </w:rPr>
        <w:t>המערכת</w:t>
      </w:r>
      <w:r>
        <w:rPr>
          <w:rFonts w:hint="cs"/>
          <w:rtl/>
        </w:rPr>
        <w:t xml:space="preserve"> ונוכח מקצועיותו והכרתו את הצרכים ואת ההליכים בפועל</w:t>
      </w:r>
      <w:r w:rsidR="00577AB6">
        <w:rPr>
          <w:rFonts w:hint="cs"/>
          <w:rtl/>
        </w:rPr>
        <w:t>, הינו הגורם המתאים לקבוע הוראות בעניין אלו</w:t>
      </w:r>
      <w:r>
        <w:rPr>
          <w:rFonts w:hint="cs"/>
          <w:rtl/>
        </w:rPr>
        <w:t xml:space="preserve">. </w:t>
      </w:r>
      <w:r w:rsidR="00577AB6">
        <w:rPr>
          <w:rFonts w:hint="cs"/>
          <w:rtl/>
        </w:rPr>
        <w:t xml:space="preserve">למען הסר ספק יצוין, כי הוראות אלו, יהיו כפופות להוראות החוק המוצע ולתקנות עתידיות אשר יקבעו. </w:t>
      </w:r>
    </w:p>
    <w:p w:rsidR="00AB3999" w:rsidRDefault="00AB3999" w:rsidP="00AB3999">
      <w:pPr>
        <w:pStyle w:val="Hesber"/>
        <w:tabs>
          <w:tab w:val="left" w:pos="424"/>
        </w:tabs>
        <w:ind w:firstLine="0"/>
        <w:rPr>
          <w:b/>
          <w:bCs/>
          <w:rtl/>
        </w:rPr>
      </w:pPr>
    </w:p>
    <w:p w:rsidR="00AB3999" w:rsidRDefault="00AB3999" w:rsidP="00511DF3">
      <w:pPr>
        <w:pStyle w:val="Hesber1st"/>
        <w:tabs>
          <w:tab w:val="clear" w:pos="680"/>
        </w:tabs>
        <w:rPr>
          <w:rtl/>
        </w:rPr>
      </w:pPr>
      <w:r>
        <w:rPr>
          <w:rFonts w:hint="cs"/>
          <w:b/>
          <w:bCs/>
          <w:rtl/>
        </w:rPr>
        <w:t xml:space="preserve">סעיף </w:t>
      </w:r>
      <w:r w:rsidR="00577AB6">
        <w:rPr>
          <w:rFonts w:hint="cs"/>
          <w:b/>
          <w:bCs/>
          <w:rtl/>
        </w:rPr>
        <w:t>19</w:t>
      </w:r>
      <w:r w:rsidR="00577AB6" w:rsidRPr="003C61F7">
        <w:rPr>
          <w:rFonts w:hint="cs"/>
          <w:b/>
          <w:bCs/>
          <w:rtl/>
        </w:rPr>
        <w:t xml:space="preserve"> </w:t>
      </w:r>
      <w:r w:rsidRPr="00511DF3">
        <w:rPr>
          <w:rtl/>
        </w:rPr>
        <w:t xml:space="preserve">– </w:t>
      </w:r>
      <w:r>
        <w:rPr>
          <w:rFonts w:hint="cs"/>
          <w:rtl/>
        </w:rPr>
        <w:t xml:space="preserve">במסגרת סעיף זה מוצע לקבוע את האפשרות להגיש ערר לבית דין לתעבורה, לרבות סד הזמנים לכך. יצוין, כי יש הבחנה בין שני </w:t>
      </w:r>
      <w:r w:rsidRPr="00EF7F4A">
        <w:rPr>
          <w:rFonts w:hint="cs"/>
          <w:rtl/>
        </w:rPr>
        <w:t>מצבים</w:t>
      </w:r>
      <w:r>
        <w:rPr>
          <w:rFonts w:hint="cs"/>
          <w:rtl/>
        </w:rPr>
        <w:t xml:space="preserve"> </w:t>
      </w:r>
      <w:r>
        <w:rPr>
          <w:rtl/>
        </w:rPr>
        <w:t>–</w:t>
      </w:r>
      <w:r>
        <w:rPr>
          <w:rFonts w:hint="cs"/>
          <w:rtl/>
        </w:rPr>
        <w:t xml:space="preserve"> ככלל ערר יוגש תוך 90 יום מיום ההמצאה, וככל שהוגשה בקשת ביטול לפי סעיף</w:t>
      </w:r>
      <w:r w:rsidR="00577AB6">
        <w:rPr>
          <w:rFonts w:hint="cs"/>
          <w:rtl/>
        </w:rPr>
        <w:t xml:space="preserve"> 9(א)(1) ו-(2)</w:t>
      </w:r>
      <w:r>
        <w:rPr>
          <w:rFonts w:hint="cs"/>
          <w:rtl/>
        </w:rPr>
        <w:t xml:space="preserve"> לחוק, יוגש ערר תוך 30 יום מיום ההחלטה בבקשת הביטול. הוראה זו תואמת את סד הזמנים הקבוע כיום </w:t>
      </w:r>
      <w:r w:rsidR="00577AB6">
        <w:rPr>
          <w:rFonts w:hint="cs"/>
          <w:rtl/>
        </w:rPr>
        <w:t>ב</w:t>
      </w:r>
      <w:r>
        <w:rPr>
          <w:rFonts w:hint="cs"/>
          <w:rtl/>
        </w:rPr>
        <w:t xml:space="preserve">סעיף 229 לחוק סדר הדין הפלילי. עוד מוצע להקנות לבית הדין לתעבורה סמכות להאריך את המועד הקבוע, וזאת בדומה לסעיף 22 לחוק בתי דין </w:t>
      </w:r>
      <w:proofErr w:type="spellStart"/>
      <w:r>
        <w:rPr>
          <w:rFonts w:hint="cs"/>
          <w:rtl/>
        </w:rPr>
        <w:t>מינהליים</w:t>
      </w:r>
      <w:proofErr w:type="spellEnd"/>
      <w:r>
        <w:rPr>
          <w:rFonts w:hint="cs"/>
          <w:rtl/>
        </w:rPr>
        <w:t xml:space="preserve">. יצוין, כי הוראות מפורטות בדבר אופן הגשת הערר והפרטים שעל הערר לכלול </w:t>
      </w:r>
      <w:r>
        <w:rPr>
          <w:rtl/>
        </w:rPr>
        <w:t>–</w:t>
      </w:r>
      <w:r>
        <w:rPr>
          <w:rFonts w:hint="cs"/>
          <w:rtl/>
        </w:rPr>
        <w:t xml:space="preserve"> </w:t>
      </w:r>
      <w:r w:rsidR="00577AB6">
        <w:rPr>
          <w:rFonts w:hint="cs"/>
          <w:rtl/>
        </w:rPr>
        <w:t xml:space="preserve">יקבעו </w:t>
      </w:r>
      <w:r>
        <w:rPr>
          <w:rFonts w:hint="cs"/>
          <w:rtl/>
        </w:rPr>
        <w:t>בתקנות.</w:t>
      </w:r>
    </w:p>
    <w:p w:rsidR="00AB3999" w:rsidRDefault="00AB3999" w:rsidP="00AB3999">
      <w:pPr>
        <w:pStyle w:val="Hesber"/>
        <w:tabs>
          <w:tab w:val="left" w:pos="424"/>
        </w:tabs>
        <w:ind w:firstLine="0"/>
        <w:rPr>
          <w:sz w:val="26"/>
          <w:rtl/>
        </w:rPr>
      </w:pPr>
    </w:p>
    <w:p w:rsidR="00AB3999" w:rsidRPr="003C61F7" w:rsidRDefault="00AB3999" w:rsidP="00511DF3">
      <w:pPr>
        <w:pStyle w:val="Hesber1st"/>
        <w:tabs>
          <w:tab w:val="clear" w:pos="680"/>
        </w:tabs>
      </w:pPr>
      <w:r>
        <w:rPr>
          <w:rFonts w:hint="cs"/>
          <w:b/>
          <w:bCs/>
          <w:rtl/>
        </w:rPr>
        <w:t xml:space="preserve">סעיפים </w:t>
      </w:r>
      <w:r w:rsidR="00577AB6">
        <w:rPr>
          <w:rFonts w:hint="cs"/>
          <w:b/>
          <w:bCs/>
          <w:rtl/>
        </w:rPr>
        <w:t>22-20</w:t>
      </w:r>
      <w:r>
        <w:rPr>
          <w:rFonts w:hint="cs"/>
          <w:b/>
          <w:bCs/>
          <w:rtl/>
        </w:rPr>
        <w:t xml:space="preserve"> </w:t>
      </w:r>
      <w:r w:rsidRPr="00511DF3">
        <w:rPr>
          <w:rtl/>
        </w:rPr>
        <w:t>–</w:t>
      </w:r>
      <w:r>
        <w:rPr>
          <w:rFonts w:hint="cs"/>
          <w:b/>
          <w:bCs/>
          <w:rtl/>
        </w:rPr>
        <w:t xml:space="preserve"> </w:t>
      </w:r>
      <w:r w:rsidRPr="003C61F7">
        <w:rPr>
          <w:rFonts w:hint="cs"/>
          <w:rtl/>
        </w:rPr>
        <w:t xml:space="preserve">סעיפים </w:t>
      </w:r>
      <w:r w:rsidRPr="00EF7F4A">
        <w:rPr>
          <w:rFonts w:hint="cs"/>
          <w:rtl/>
        </w:rPr>
        <w:t>אלו</w:t>
      </w:r>
      <w:r w:rsidRPr="003C61F7">
        <w:rPr>
          <w:rFonts w:hint="cs"/>
          <w:rtl/>
        </w:rPr>
        <w:t xml:space="preserve"> </w:t>
      </w:r>
      <w:r>
        <w:rPr>
          <w:rFonts w:hint="cs"/>
          <w:rtl/>
        </w:rPr>
        <w:t xml:space="preserve">נותנים ביטוי לייחודו המוצע של ההליך בפני בית דין לתעבורה, שבהתאם </w:t>
      </w:r>
      <w:r w:rsidRPr="00E72965">
        <w:rPr>
          <w:rFonts w:hint="cs"/>
          <w:rtl/>
        </w:rPr>
        <w:t>להמלצות</w:t>
      </w:r>
      <w:r>
        <w:rPr>
          <w:rFonts w:hint="cs"/>
          <w:rtl/>
        </w:rPr>
        <w:t xml:space="preserve"> הצוות </w:t>
      </w:r>
      <w:proofErr w:type="spellStart"/>
      <w:r>
        <w:rPr>
          <w:rFonts w:hint="cs"/>
          <w:rtl/>
        </w:rPr>
        <w:t>הבינמשרדי</w:t>
      </w:r>
      <w:proofErr w:type="spellEnd"/>
      <w:r>
        <w:rPr>
          <w:rFonts w:hint="cs"/>
          <w:rtl/>
        </w:rPr>
        <w:t xml:space="preserve"> מוצע שיתנהל באופן מקוון (ראו סעיפים 12-10 ל</w:t>
      </w:r>
      <w:r w:rsidR="00E72965">
        <w:rPr>
          <w:rFonts w:hint="cs"/>
          <w:rtl/>
        </w:rPr>
        <w:t>פרק ה</w:t>
      </w:r>
      <w:r w:rsidR="00577AB6">
        <w:rPr>
          <w:rFonts w:hint="cs"/>
          <w:rtl/>
        </w:rPr>
        <w:t>המלצות ב</w:t>
      </w:r>
      <w:r>
        <w:rPr>
          <w:rFonts w:hint="cs"/>
          <w:rtl/>
        </w:rPr>
        <w:t>דו"ח).</w:t>
      </w:r>
      <w:r w:rsidRPr="003C61F7">
        <w:rPr>
          <w:rFonts w:hint="cs"/>
          <w:rtl/>
        </w:rPr>
        <w:t xml:space="preserve"> </w:t>
      </w:r>
    </w:p>
    <w:p w:rsidR="00AB3999" w:rsidRPr="00EF7F4A" w:rsidRDefault="00AB3999" w:rsidP="00511DF3">
      <w:pPr>
        <w:pStyle w:val="Hesber"/>
        <w:rPr>
          <w:rtl/>
        </w:rPr>
      </w:pPr>
      <w:r>
        <w:rPr>
          <w:rFonts w:hint="cs"/>
          <w:rtl/>
        </w:rPr>
        <w:t xml:space="preserve">מוצע, כי ההליך יתנהל באמצעות מערכת מקוונות, על מנת </w:t>
      </w:r>
      <w:proofErr w:type="spellStart"/>
      <w:r>
        <w:rPr>
          <w:rFonts w:hint="cs"/>
          <w:rtl/>
        </w:rPr>
        <w:t>להנגיש</w:t>
      </w:r>
      <w:proofErr w:type="spellEnd"/>
      <w:r>
        <w:rPr>
          <w:rFonts w:hint="cs"/>
          <w:rtl/>
        </w:rPr>
        <w:t xml:space="preserve"> את ההליך לעוררים, וזאת בדומה להליכים דומים אשר מתקיימים באופן זה ברחבי העולם, כעולה מהמחקר ההשוואתי אשר צורף לדו"ח. </w:t>
      </w:r>
      <w:r w:rsidRPr="00EF7F4A">
        <w:rPr>
          <w:rFonts w:hint="cs"/>
          <w:rtl/>
        </w:rPr>
        <w:t>אפשרות</w:t>
      </w:r>
      <w:r w:rsidRPr="00EF7F4A">
        <w:rPr>
          <w:rtl/>
        </w:rPr>
        <w:t xml:space="preserve"> זו תואמת גם את החלטת ממשלה מס' 260 בנושא "תכנית להאצת השירותים </w:t>
      </w:r>
      <w:r w:rsidRPr="00E72965">
        <w:rPr>
          <w:rtl/>
        </w:rPr>
        <w:t>הדיגיטליים</w:t>
      </w:r>
      <w:r w:rsidRPr="00EF7F4A">
        <w:rPr>
          <w:rtl/>
        </w:rPr>
        <w:t xml:space="preserve"> לציבור ולקידום הלמידה הדיגיטלית ותיקון החלטת ממשלה" מיום 26.7.2020, במסגרתה הוחלט להטיל על משרד המשפטים להקים תשתית רוחבית שתאפשר לקיים דיונים בהיוועדות חזותית בבתי דין </w:t>
      </w:r>
      <w:proofErr w:type="spellStart"/>
      <w:r w:rsidRPr="00EF7F4A">
        <w:rPr>
          <w:rFonts w:hint="cs"/>
          <w:rtl/>
        </w:rPr>
        <w:t>מינהליים</w:t>
      </w:r>
      <w:proofErr w:type="spellEnd"/>
      <w:r w:rsidRPr="00EF7F4A">
        <w:rPr>
          <w:rtl/>
        </w:rPr>
        <w:t xml:space="preserve"> שתחת אחריות משרד המשפטים וכן תשתית שתאפשר ליישב סכסוכים באופן מקוון (</w:t>
      </w:r>
      <w:r w:rsidRPr="00A05B81">
        <w:rPr>
          <w:rFonts w:asciiTheme="majorBidi" w:hAnsiTheme="majorBidi" w:cstheme="majorBidi"/>
          <w:sz w:val="22"/>
          <w:szCs w:val="22"/>
        </w:rPr>
        <w:t>ODR – On-line Dispute Resolution</w:t>
      </w:r>
      <w:r w:rsidRPr="00EF7F4A">
        <w:rPr>
          <w:rtl/>
        </w:rPr>
        <w:t xml:space="preserve">) (סעיף 14 </w:t>
      </w:r>
      <w:r w:rsidRPr="00EF7F4A">
        <w:rPr>
          <w:rFonts w:hint="cs"/>
          <w:rtl/>
        </w:rPr>
        <w:t>להחלטת</w:t>
      </w:r>
      <w:r w:rsidRPr="00EF7F4A">
        <w:rPr>
          <w:rtl/>
        </w:rPr>
        <w:t xml:space="preserve"> </w:t>
      </w:r>
      <w:r w:rsidRPr="00EF7F4A">
        <w:rPr>
          <w:rFonts w:hint="cs"/>
          <w:rtl/>
        </w:rPr>
        <w:t>הממשלה</w:t>
      </w:r>
      <w:r w:rsidRPr="00EF7F4A">
        <w:rPr>
          <w:rtl/>
        </w:rPr>
        <w:t xml:space="preserve">). </w:t>
      </w:r>
      <w:r w:rsidR="006C12A1">
        <w:rPr>
          <w:rFonts w:hint="cs"/>
          <w:rtl/>
        </w:rPr>
        <w:t xml:space="preserve">אופן </w:t>
      </w:r>
      <w:r w:rsidRPr="00EF7F4A">
        <w:rPr>
          <w:rFonts w:hint="cs"/>
          <w:rtl/>
        </w:rPr>
        <w:t>ניהול</w:t>
      </w:r>
      <w:r w:rsidRPr="00EF7F4A">
        <w:rPr>
          <w:rtl/>
        </w:rPr>
        <w:t xml:space="preserve"> </w:t>
      </w:r>
      <w:r w:rsidRPr="00EF7F4A">
        <w:rPr>
          <w:rFonts w:hint="cs"/>
          <w:rtl/>
        </w:rPr>
        <w:t>ההליך</w:t>
      </w:r>
      <w:r w:rsidRPr="00EF7F4A">
        <w:rPr>
          <w:rtl/>
        </w:rPr>
        <w:t xml:space="preserve"> </w:t>
      </w:r>
      <w:r w:rsidRPr="00EF7F4A">
        <w:rPr>
          <w:rFonts w:hint="cs"/>
          <w:rtl/>
        </w:rPr>
        <w:t>באמצעות</w:t>
      </w:r>
      <w:r w:rsidRPr="00EF7F4A">
        <w:rPr>
          <w:rtl/>
        </w:rPr>
        <w:t xml:space="preserve"> </w:t>
      </w:r>
      <w:r w:rsidRPr="00EF7F4A">
        <w:rPr>
          <w:rFonts w:hint="cs"/>
          <w:rtl/>
        </w:rPr>
        <w:t>מערכת</w:t>
      </w:r>
      <w:r w:rsidRPr="00EF7F4A">
        <w:rPr>
          <w:rtl/>
        </w:rPr>
        <w:t xml:space="preserve"> </w:t>
      </w:r>
      <w:r w:rsidRPr="00EF7F4A">
        <w:rPr>
          <w:rFonts w:hint="cs"/>
          <w:rtl/>
        </w:rPr>
        <w:t>מקוונת</w:t>
      </w:r>
      <w:r w:rsidRPr="00EF7F4A">
        <w:rPr>
          <w:rtl/>
        </w:rPr>
        <w:t xml:space="preserve"> </w:t>
      </w:r>
      <w:r w:rsidR="006C12A1">
        <w:rPr>
          <w:rFonts w:hint="cs"/>
          <w:rtl/>
        </w:rPr>
        <w:t>ועיקריו יקבעו על-ידי שר המשפטים</w:t>
      </w:r>
      <w:r w:rsidRPr="00EF7F4A">
        <w:rPr>
          <w:rtl/>
        </w:rPr>
        <w:t>.</w:t>
      </w:r>
    </w:p>
    <w:p w:rsidR="00AB3999" w:rsidRPr="00EF7F4A" w:rsidRDefault="00AB3999" w:rsidP="00511DF3">
      <w:pPr>
        <w:pStyle w:val="Hesber"/>
        <w:rPr>
          <w:rtl/>
        </w:rPr>
      </w:pPr>
      <w:r w:rsidRPr="00EF7F4A">
        <w:rPr>
          <w:rtl/>
        </w:rPr>
        <w:t xml:space="preserve">ככלל, ההליכים בבית הדין יתנהלו על בסיס מסמכים כתובים, מבלי שהצדדים יידרשו להופיע באופן פיזי בפני הדיין. </w:t>
      </w:r>
      <w:r w:rsidRPr="00EF7F4A">
        <w:rPr>
          <w:rFonts w:hint="cs"/>
          <w:rtl/>
        </w:rPr>
        <w:t>יובהר</w:t>
      </w:r>
      <w:r w:rsidRPr="00EF7F4A">
        <w:rPr>
          <w:rtl/>
        </w:rPr>
        <w:t xml:space="preserve">, </w:t>
      </w:r>
      <w:r w:rsidRPr="00EF7F4A">
        <w:rPr>
          <w:rFonts w:hint="cs"/>
          <w:rtl/>
        </w:rPr>
        <w:t>כי</w:t>
      </w:r>
      <w:r w:rsidRPr="00EF7F4A">
        <w:rPr>
          <w:rtl/>
        </w:rPr>
        <w:t xml:space="preserve"> </w:t>
      </w:r>
      <w:r w:rsidRPr="00EF7F4A">
        <w:rPr>
          <w:rFonts w:hint="cs"/>
          <w:rtl/>
        </w:rPr>
        <w:t>בהתאם</w:t>
      </w:r>
      <w:r w:rsidRPr="00EF7F4A">
        <w:rPr>
          <w:rtl/>
        </w:rPr>
        <w:t xml:space="preserve"> </w:t>
      </w:r>
      <w:r w:rsidRPr="00EF7F4A">
        <w:rPr>
          <w:rFonts w:hint="cs"/>
          <w:rtl/>
        </w:rPr>
        <w:t>לסעיף</w:t>
      </w:r>
      <w:r w:rsidRPr="00EF7F4A">
        <w:rPr>
          <w:rtl/>
        </w:rPr>
        <w:t xml:space="preserve"> 1 </w:t>
      </w:r>
      <w:r w:rsidRPr="00EF7F4A">
        <w:rPr>
          <w:rFonts w:hint="cs"/>
          <w:rtl/>
        </w:rPr>
        <w:t>בפרק</w:t>
      </w:r>
      <w:r w:rsidRPr="00EF7F4A">
        <w:rPr>
          <w:rtl/>
        </w:rPr>
        <w:t xml:space="preserve"> </w:t>
      </w:r>
      <w:r w:rsidRPr="00EF7F4A">
        <w:rPr>
          <w:rFonts w:hint="cs"/>
          <w:rtl/>
        </w:rPr>
        <w:t>ד</w:t>
      </w:r>
      <w:r w:rsidRPr="00EF7F4A">
        <w:rPr>
          <w:rtl/>
        </w:rPr>
        <w:t xml:space="preserve">' </w:t>
      </w:r>
      <w:r w:rsidRPr="00EF7F4A">
        <w:rPr>
          <w:rFonts w:hint="cs"/>
          <w:rtl/>
        </w:rPr>
        <w:t>להנחיית</w:t>
      </w:r>
      <w:r w:rsidRPr="00EF7F4A">
        <w:rPr>
          <w:rtl/>
        </w:rPr>
        <w:t xml:space="preserve"> </w:t>
      </w:r>
      <w:r w:rsidRPr="00EF7F4A">
        <w:rPr>
          <w:rFonts w:hint="cs"/>
          <w:rtl/>
        </w:rPr>
        <w:t>יועץ</w:t>
      </w:r>
      <w:r w:rsidRPr="00EF7F4A">
        <w:rPr>
          <w:rtl/>
        </w:rPr>
        <w:t xml:space="preserve"> </w:t>
      </w:r>
      <w:r w:rsidRPr="00EF7F4A">
        <w:rPr>
          <w:rFonts w:hint="cs"/>
          <w:rtl/>
        </w:rPr>
        <w:t>מס</w:t>
      </w:r>
      <w:r w:rsidRPr="00EF7F4A">
        <w:rPr>
          <w:rtl/>
        </w:rPr>
        <w:t xml:space="preserve">' 1.2500 </w:t>
      </w:r>
      <w:r w:rsidRPr="00EF7F4A">
        <w:rPr>
          <w:rFonts w:hint="cs"/>
          <w:rtl/>
        </w:rPr>
        <w:t>בנושא</w:t>
      </w:r>
      <w:r w:rsidRPr="00EF7F4A">
        <w:rPr>
          <w:rtl/>
        </w:rPr>
        <w:t xml:space="preserve"> "כללים </w:t>
      </w:r>
      <w:r w:rsidRPr="00EF7F4A">
        <w:rPr>
          <w:rFonts w:hint="cs"/>
          <w:rtl/>
        </w:rPr>
        <w:t>מנחים</w:t>
      </w:r>
      <w:r w:rsidRPr="00EF7F4A">
        <w:rPr>
          <w:rtl/>
        </w:rPr>
        <w:t xml:space="preserve"> </w:t>
      </w:r>
      <w:r w:rsidRPr="00EF7F4A">
        <w:rPr>
          <w:rFonts w:hint="cs"/>
          <w:rtl/>
        </w:rPr>
        <w:t>לגיבוש</w:t>
      </w:r>
      <w:r w:rsidRPr="00EF7F4A">
        <w:rPr>
          <w:rtl/>
        </w:rPr>
        <w:t xml:space="preserve"> </w:t>
      </w:r>
      <w:r w:rsidRPr="00EF7F4A">
        <w:rPr>
          <w:rFonts w:hint="cs"/>
          <w:rtl/>
        </w:rPr>
        <w:t>הסדרים</w:t>
      </w:r>
      <w:r w:rsidRPr="00EF7F4A">
        <w:rPr>
          <w:rtl/>
        </w:rPr>
        <w:t xml:space="preserve"> </w:t>
      </w:r>
      <w:r w:rsidRPr="00EF7F4A">
        <w:rPr>
          <w:rFonts w:hint="cs"/>
          <w:rtl/>
        </w:rPr>
        <w:t>דיגיטליים</w:t>
      </w:r>
      <w:r w:rsidRPr="00EF7F4A">
        <w:rPr>
          <w:rtl/>
        </w:rPr>
        <w:t xml:space="preserve">" </w:t>
      </w:r>
      <w:r w:rsidRPr="00EF7F4A">
        <w:rPr>
          <w:rFonts w:hint="cs"/>
          <w:rtl/>
        </w:rPr>
        <w:t>מיום</w:t>
      </w:r>
      <w:r w:rsidRPr="00EF7F4A">
        <w:rPr>
          <w:rtl/>
        </w:rPr>
        <w:t xml:space="preserve"> 10.10.2019, </w:t>
      </w:r>
      <w:r w:rsidRPr="00EF7F4A">
        <w:rPr>
          <w:rFonts w:hint="cs"/>
          <w:rtl/>
        </w:rPr>
        <w:t>כתב</w:t>
      </w:r>
      <w:r w:rsidRPr="00EF7F4A">
        <w:rPr>
          <w:rtl/>
        </w:rPr>
        <w:t xml:space="preserve"> </w:t>
      </w:r>
      <w:r w:rsidRPr="00EF7F4A">
        <w:rPr>
          <w:rFonts w:hint="cs"/>
          <w:rtl/>
        </w:rPr>
        <w:t>שנוצר</w:t>
      </w:r>
      <w:r w:rsidRPr="00EF7F4A">
        <w:rPr>
          <w:rtl/>
        </w:rPr>
        <w:t xml:space="preserve"> </w:t>
      </w:r>
      <w:r w:rsidRPr="00EF7F4A">
        <w:rPr>
          <w:rFonts w:hint="cs"/>
          <w:rtl/>
        </w:rPr>
        <w:t>באופן</w:t>
      </w:r>
      <w:r w:rsidRPr="00EF7F4A">
        <w:rPr>
          <w:rtl/>
        </w:rPr>
        <w:t xml:space="preserve"> </w:t>
      </w:r>
      <w:r w:rsidRPr="00EF7F4A">
        <w:rPr>
          <w:rFonts w:hint="cs"/>
          <w:rtl/>
        </w:rPr>
        <w:t>אלקטרוני</w:t>
      </w:r>
      <w:r w:rsidRPr="00EF7F4A">
        <w:rPr>
          <w:rtl/>
        </w:rPr>
        <w:t xml:space="preserve"> </w:t>
      </w:r>
      <w:r w:rsidRPr="00EF7F4A">
        <w:rPr>
          <w:rFonts w:hint="cs"/>
          <w:rtl/>
        </w:rPr>
        <w:t>כלול</w:t>
      </w:r>
      <w:r w:rsidRPr="00EF7F4A">
        <w:rPr>
          <w:rtl/>
        </w:rPr>
        <w:t xml:space="preserve"> </w:t>
      </w:r>
      <w:r w:rsidRPr="00EF7F4A">
        <w:rPr>
          <w:rFonts w:hint="cs"/>
          <w:rtl/>
        </w:rPr>
        <w:t>גם</w:t>
      </w:r>
      <w:r w:rsidRPr="00EF7F4A">
        <w:rPr>
          <w:rtl/>
        </w:rPr>
        <w:t xml:space="preserve"> </w:t>
      </w:r>
      <w:r w:rsidRPr="00EF7F4A">
        <w:rPr>
          <w:rFonts w:hint="cs"/>
          <w:rtl/>
        </w:rPr>
        <w:t>כן</w:t>
      </w:r>
      <w:r w:rsidRPr="00EF7F4A">
        <w:rPr>
          <w:rtl/>
        </w:rPr>
        <w:t xml:space="preserve"> </w:t>
      </w:r>
      <w:r w:rsidRPr="00EF7F4A">
        <w:rPr>
          <w:rFonts w:hint="cs"/>
          <w:rtl/>
        </w:rPr>
        <w:t>בהגדרת</w:t>
      </w:r>
      <w:r w:rsidRPr="00EF7F4A">
        <w:rPr>
          <w:rtl/>
        </w:rPr>
        <w:t xml:space="preserve"> "כתב" </w:t>
      </w:r>
      <w:r w:rsidRPr="00EF7F4A">
        <w:rPr>
          <w:rFonts w:hint="cs"/>
          <w:rtl/>
        </w:rPr>
        <w:t>לפי</w:t>
      </w:r>
      <w:r w:rsidRPr="00EF7F4A">
        <w:rPr>
          <w:rtl/>
        </w:rPr>
        <w:t xml:space="preserve"> </w:t>
      </w:r>
      <w:r w:rsidRPr="00EF7F4A">
        <w:rPr>
          <w:rFonts w:hint="cs"/>
          <w:rtl/>
        </w:rPr>
        <w:t>חוק</w:t>
      </w:r>
      <w:r w:rsidRPr="00EF7F4A">
        <w:rPr>
          <w:rtl/>
        </w:rPr>
        <w:t xml:space="preserve"> </w:t>
      </w:r>
      <w:r w:rsidRPr="00EF7F4A">
        <w:rPr>
          <w:rFonts w:hint="cs"/>
          <w:rtl/>
        </w:rPr>
        <w:t>הפרשנות</w:t>
      </w:r>
      <w:r w:rsidRPr="00EF7F4A">
        <w:rPr>
          <w:rtl/>
        </w:rPr>
        <w:t xml:space="preserve">, </w:t>
      </w:r>
      <w:r w:rsidRPr="00EF7F4A">
        <w:rPr>
          <w:rFonts w:hint="cs"/>
          <w:rtl/>
        </w:rPr>
        <w:t>התשמ</w:t>
      </w:r>
      <w:r w:rsidRPr="00EF7F4A">
        <w:rPr>
          <w:rtl/>
        </w:rPr>
        <w:t>"א-1981</w:t>
      </w:r>
      <w:r w:rsidRPr="00B15FDE">
        <w:rPr>
          <w:vertAlign w:val="superscript"/>
          <w:rtl/>
        </w:rPr>
        <w:footnoteReference w:id="35"/>
      </w:r>
      <w:r w:rsidRPr="00EF7F4A">
        <w:rPr>
          <w:rtl/>
        </w:rPr>
        <w:t xml:space="preserve">. במקרים יוצאי הדופן, שבהם הדיין סבור כי יש צורך לשמוע את הצדדים בעצמם, ברירת המחדל תהיה </w:t>
      </w:r>
      <w:r w:rsidRPr="00EF7F4A">
        <w:rPr>
          <w:rFonts w:hint="cs"/>
          <w:rtl/>
        </w:rPr>
        <w:t>קיום</w:t>
      </w:r>
      <w:r w:rsidRPr="00EF7F4A">
        <w:rPr>
          <w:rtl/>
        </w:rPr>
        <w:t xml:space="preserve"> </w:t>
      </w:r>
      <w:r w:rsidRPr="00EF7F4A">
        <w:rPr>
          <w:rFonts w:hint="cs"/>
          <w:rtl/>
        </w:rPr>
        <w:t>דיון</w:t>
      </w:r>
      <w:r w:rsidRPr="00EF7F4A">
        <w:rPr>
          <w:rtl/>
        </w:rPr>
        <w:t xml:space="preserve"> </w:t>
      </w:r>
      <w:r w:rsidRPr="00EF7F4A">
        <w:rPr>
          <w:rFonts w:hint="cs"/>
          <w:rtl/>
        </w:rPr>
        <w:t>באמצעים</w:t>
      </w:r>
      <w:r w:rsidRPr="00EF7F4A">
        <w:rPr>
          <w:rtl/>
        </w:rPr>
        <w:t xml:space="preserve"> </w:t>
      </w:r>
      <w:r w:rsidRPr="00EF7F4A">
        <w:rPr>
          <w:rFonts w:hint="cs"/>
          <w:rtl/>
        </w:rPr>
        <w:t>טכנולוגיים</w:t>
      </w:r>
      <w:r w:rsidRPr="00EF7F4A">
        <w:rPr>
          <w:rtl/>
        </w:rPr>
        <w:t>, אשר יחליפו את הצורך בהגעה פיזית לבית הדין</w:t>
      </w:r>
      <w:r w:rsidR="006C12A1">
        <w:rPr>
          <w:rFonts w:hint="cs"/>
          <w:rtl/>
        </w:rPr>
        <w:t xml:space="preserve"> לתעבורה</w:t>
      </w:r>
      <w:r w:rsidRPr="00EF7F4A">
        <w:rPr>
          <w:rtl/>
        </w:rPr>
        <w:t xml:space="preserve">. במידה שהדבר איננו אפשרי </w:t>
      </w:r>
      <w:r w:rsidRPr="00EF7F4A">
        <w:rPr>
          <w:rFonts w:hint="cs"/>
          <w:rtl/>
        </w:rPr>
        <w:t>ויהיה</w:t>
      </w:r>
      <w:r w:rsidRPr="00EF7F4A">
        <w:rPr>
          <w:rtl/>
        </w:rPr>
        <w:t xml:space="preserve"> בכך בכדי לפגוע בעשיית צדק בעניינם של הצדדים יתקיים דיון במעמד הצדדים. </w:t>
      </w:r>
      <w:r w:rsidR="006C12A1">
        <w:rPr>
          <w:rFonts w:hint="cs"/>
          <w:rtl/>
        </w:rPr>
        <w:t xml:space="preserve">אופן </w:t>
      </w:r>
      <w:r w:rsidRPr="00EF7F4A">
        <w:rPr>
          <w:rtl/>
        </w:rPr>
        <w:t xml:space="preserve">קיום דיון באמצעים טכנולוגיים </w:t>
      </w:r>
      <w:r w:rsidR="006C12A1">
        <w:rPr>
          <w:rFonts w:hint="cs"/>
          <w:rtl/>
        </w:rPr>
        <w:t>יקבע</w:t>
      </w:r>
      <w:r w:rsidRPr="00EF7F4A">
        <w:rPr>
          <w:rtl/>
        </w:rPr>
        <w:t xml:space="preserve"> </w:t>
      </w:r>
      <w:r w:rsidR="006C12A1">
        <w:rPr>
          <w:rFonts w:hint="cs"/>
          <w:rtl/>
        </w:rPr>
        <w:t>ב</w:t>
      </w:r>
      <w:r w:rsidRPr="00EF7F4A">
        <w:rPr>
          <w:rtl/>
        </w:rPr>
        <w:t>תקנות</w:t>
      </w:r>
      <w:r w:rsidR="006C12A1">
        <w:rPr>
          <w:rFonts w:hint="cs"/>
          <w:rtl/>
        </w:rPr>
        <w:t xml:space="preserve"> </w:t>
      </w:r>
      <w:r w:rsidRPr="00EF7F4A">
        <w:rPr>
          <w:rtl/>
        </w:rPr>
        <w:t>. עוד מוצע, כי שר המשפטים יקבע הוראות לעניין האפשרות החריגה לקיים דיון במעמד הצדדים, וזאת בין השאר בשים לב לעקרונות חוק שוויון זכויות לאנשים עם מוגבלויות ולמאפייניהם הייחודיים של קטינים</w:t>
      </w:r>
      <w:r w:rsidR="006C12A1">
        <w:rPr>
          <w:rFonts w:hint="cs"/>
          <w:rtl/>
        </w:rPr>
        <w:t xml:space="preserve"> ולעקרונות חוק הנוער (שפיטה, ענישה ודרכי טיפול), התשל"א-1971</w:t>
      </w:r>
      <w:r w:rsidRPr="00EF7F4A">
        <w:rPr>
          <w:rtl/>
        </w:rPr>
        <w:t>. יצוין, כי הוראות אלו יתייחסו הן למקרים בהם דיון על בסיס כתב אינו נותן מענה הולם לצרכיו של בעל דין כאמור, הן לצורך להתאים את הדיון באמצעים טכנולוגיים והן לקיום דיון באופן שיאפשר השתתפות בדיון, ככל שלא די בהתאמות כאמור.</w:t>
      </w:r>
    </w:p>
    <w:p w:rsidR="00AB3999" w:rsidRDefault="00AB3999" w:rsidP="00511DF3">
      <w:pPr>
        <w:pStyle w:val="Hesber"/>
        <w:rPr>
          <w:rtl/>
        </w:rPr>
      </w:pPr>
      <w:r w:rsidRPr="00EF7F4A">
        <w:rPr>
          <w:rtl/>
        </w:rPr>
        <w:t>שאר סדרי הדין ודיני ה</w:t>
      </w:r>
      <w:r w:rsidRPr="003C61F7">
        <w:rPr>
          <w:rtl/>
        </w:rPr>
        <w:t xml:space="preserve">ראיות </w:t>
      </w:r>
      <w:r w:rsidR="006C12A1">
        <w:rPr>
          <w:rFonts w:hint="cs"/>
          <w:rtl/>
        </w:rPr>
        <w:t>יקבעו בהתאם לעקרונות ההליך</w:t>
      </w:r>
      <w:r w:rsidRPr="003C61F7">
        <w:rPr>
          <w:rtl/>
        </w:rPr>
        <w:t xml:space="preserve"> </w:t>
      </w:r>
      <w:proofErr w:type="spellStart"/>
      <w:r>
        <w:rPr>
          <w:rtl/>
        </w:rPr>
        <w:t>המינהלי</w:t>
      </w:r>
      <w:proofErr w:type="spellEnd"/>
      <w:r>
        <w:rPr>
          <w:rFonts w:hint="cs"/>
          <w:rtl/>
        </w:rPr>
        <w:t xml:space="preserve">, כעולה מחוק בתי דין </w:t>
      </w:r>
      <w:proofErr w:type="spellStart"/>
      <w:r>
        <w:rPr>
          <w:rFonts w:hint="cs"/>
          <w:rtl/>
        </w:rPr>
        <w:t>מינהליים</w:t>
      </w:r>
      <w:proofErr w:type="spellEnd"/>
      <w:r>
        <w:rPr>
          <w:rFonts w:hint="cs"/>
          <w:rtl/>
        </w:rPr>
        <w:t xml:space="preserve">, </w:t>
      </w:r>
      <w:r w:rsidR="006C12A1">
        <w:rPr>
          <w:rFonts w:hint="cs"/>
          <w:rtl/>
        </w:rPr>
        <w:t>במסגרת</w:t>
      </w:r>
      <w:r w:rsidR="006C12A1">
        <w:rPr>
          <w:rtl/>
        </w:rPr>
        <w:t xml:space="preserve"> </w:t>
      </w:r>
      <w:r w:rsidR="006C12A1">
        <w:rPr>
          <w:rFonts w:hint="cs"/>
          <w:rtl/>
        </w:rPr>
        <w:t>ה</w:t>
      </w:r>
      <w:r>
        <w:rPr>
          <w:rtl/>
        </w:rPr>
        <w:t>תקנות</w:t>
      </w:r>
      <w:r w:rsidRPr="003C61F7">
        <w:rPr>
          <w:rtl/>
        </w:rPr>
        <w:t>.</w:t>
      </w:r>
    </w:p>
    <w:p w:rsidR="00AB3999" w:rsidRDefault="00AB3999" w:rsidP="00AB3999">
      <w:pPr>
        <w:pStyle w:val="Hesber"/>
        <w:tabs>
          <w:tab w:val="left" w:pos="424"/>
        </w:tabs>
        <w:ind w:firstLine="0"/>
        <w:rPr>
          <w:sz w:val="26"/>
          <w:rtl/>
        </w:rPr>
      </w:pPr>
    </w:p>
    <w:p w:rsidR="00AB3999" w:rsidRDefault="00AB3999" w:rsidP="00511DF3">
      <w:pPr>
        <w:pStyle w:val="Hesber1st"/>
        <w:tabs>
          <w:tab w:val="clear" w:pos="680"/>
        </w:tabs>
        <w:rPr>
          <w:rtl/>
        </w:rPr>
      </w:pPr>
      <w:r>
        <w:rPr>
          <w:rFonts w:hint="cs"/>
          <w:b/>
          <w:bCs/>
          <w:rtl/>
        </w:rPr>
        <w:t xml:space="preserve">סעיף </w:t>
      </w:r>
      <w:r w:rsidR="006C12A1">
        <w:rPr>
          <w:rFonts w:hint="cs"/>
          <w:b/>
          <w:bCs/>
          <w:rtl/>
        </w:rPr>
        <w:t xml:space="preserve">23 </w:t>
      </w:r>
      <w:r w:rsidRPr="00A05B81">
        <w:rPr>
          <w:rtl/>
        </w:rPr>
        <w:t>–</w:t>
      </w:r>
      <w:r>
        <w:rPr>
          <w:rFonts w:hint="cs"/>
          <w:rtl/>
        </w:rPr>
        <w:t xml:space="preserve"> סעיף זה נועד להבהיר את סמכויות בית הדין לתעבורה בעת הדיון בערר, ולהחליף את סעיף 37 לחוק בתי דין </w:t>
      </w:r>
      <w:proofErr w:type="spellStart"/>
      <w:r>
        <w:rPr>
          <w:rFonts w:hint="cs"/>
          <w:rtl/>
        </w:rPr>
        <w:t>מינהליים</w:t>
      </w:r>
      <w:proofErr w:type="spellEnd"/>
      <w:r>
        <w:rPr>
          <w:rFonts w:hint="cs"/>
          <w:rtl/>
        </w:rPr>
        <w:t xml:space="preserve">. מוצע, כי בית הדין יקיים ביקורת שיפוטית, באופן שנועד לתת ביטוי לאופיו </w:t>
      </w:r>
      <w:proofErr w:type="spellStart"/>
      <w:r>
        <w:rPr>
          <w:rFonts w:hint="cs"/>
          <w:rtl/>
        </w:rPr>
        <w:t>המינהלי</w:t>
      </w:r>
      <w:proofErr w:type="spellEnd"/>
      <w:r>
        <w:rPr>
          <w:rFonts w:hint="cs"/>
          <w:rtl/>
        </w:rPr>
        <w:t xml:space="preserve"> של ההליך </w:t>
      </w:r>
      <w:r w:rsidRPr="00EF7F4A">
        <w:rPr>
          <w:rFonts w:hint="cs"/>
          <w:rtl/>
        </w:rPr>
        <w:t>בפני</w:t>
      </w:r>
      <w:r>
        <w:rPr>
          <w:rFonts w:hint="cs"/>
          <w:rtl/>
        </w:rPr>
        <w:t xml:space="preserve"> בית הדין. בתוך כך, מוצע כי בית הדין יוכל לאשר את ההחלטה עליה עוררים, לבטלה או להחזיר את העניין </w:t>
      </w:r>
      <w:r w:rsidR="006C12A1">
        <w:rPr>
          <w:rFonts w:hint="cs"/>
          <w:rtl/>
        </w:rPr>
        <w:t xml:space="preserve">עם </w:t>
      </w:r>
      <w:r>
        <w:rPr>
          <w:rFonts w:hint="cs"/>
          <w:rtl/>
        </w:rPr>
        <w:t xml:space="preserve">הוראות לרשות שקיבלה את ההחלטה נושא הערר. עוד יובהר, כי ככל שמוחזר ההליך לגורם האכיפה החלטתו בהליך תהווה החלטה חדשה, שגם באשר אליה יכול אדם לשלם את </w:t>
      </w:r>
      <w:r w:rsidR="005B4A40">
        <w:rPr>
          <w:rFonts w:hint="cs"/>
          <w:rtl/>
        </w:rPr>
        <w:t>קנס ההפרה</w:t>
      </w:r>
      <w:r>
        <w:rPr>
          <w:rFonts w:hint="cs"/>
          <w:rtl/>
        </w:rPr>
        <w:t xml:space="preserve"> או להגיש ערר, קרי לפתוח בהליך </w:t>
      </w:r>
      <w:proofErr w:type="spellStart"/>
      <w:r>
        <w:rPr>
          <w:rFonts w:hint="cs"/>
          <w:rtl/>
        </w:rPr>
        <w:t>מינהלי</w:t>
      </w:r>
      <w:proofErr w:type="spellEnd"/>
      <w:r>
        <w:rPr>
          <w:rFonts w:hint="cs"/>
          <w:rtl/>
        </w:rPr>
        <w:t xml:space="preserve"> חדש.</w:t>
      </w:r>
    </w:p>
    <w:p w:rsidR="00AB3999" w:rsidRDefault="00AB3999" w:rsidP="00AB3999">
      <w:pPr>
        <w:pStyle w:val="Hesber"/>
        <w:tabs>
          <w:tab w:val="left" w:pos="424"/>
        </w:tabs>
        <w:ind w:firstLine="0"/>
        <w:rPr>
          <w:sz w:val="26"/>
          <w:rtl/>
        </w:rPr>
      </w:pPr>
    </w:p>
    <w:p w:rsidR="00AB3999" w:rsidRDefault="00AB3999" w:rsidP="00511DF3">
      <w:pPr>
        <w:pStyle w:val="Hesber1st"/>
        <w:tabs>
          <w:tab w:val="clear" w:pos="680"/>
        </w:tabs>
        <w:rPr>
          <w:vertAlign w:val="subscript"/>
          <w:rtl/>
        </w:rPr>
      </w:pPr>
      <w:r>
        <w:rPr>
          <w:rFonts w:hint="cs"/>
          <w:b/>
          <w:bCs/>
          <w:rtl/>
        </w:rPr>
        <w:t xml:space="preserve">סעיף </w:t>
      </w:r>
      <w:r w:rsidR="006C12A1">
        <w:rPr>
          <w:rFonts w:hint="cs"/>
          <w:b/>
          <w:bCs/>
          <w:rtl/>
        </w:rPr>
        <w:t xml:space="preserve">24 </w:t>
      </w:r>
      <w:r w:rsidRPr="00511DF3">
        <w:rPr>
          <w:rtl/>
        </w:rPr>
        <w:t>–</w:t>
      </w:r>
      <w:r>
        <w:rPr>
          <w:rFonts w:hint="cs"/>
          <w:b/>
          <w:bCs/>
          <w:rtl/>
        </w:rPr>
        <w:t xml:space="preserve"> </w:t>
      </w:r>
      <w:r>
        <w:rPr>
          <w:rFonts w:hint="cs"/>
          <w:rtl/>
        </w:rPr>
        <w:t xml:space="preserve">בהתאם להמלצות הצוות </w:t>
      </w:r>
      <w:proofErr w:type="spellStart"/>
      <w:r>
        <w:rPr>
          <w:rFonts w:hint="cs"/>
          <w:rtl/>
        </w:rPr>
        <w:t>הבינמשרדי</w:t>
      </w:r>
      <w:proofErr w:type="spellEnd"/>
      <w:r>
        <w:rPr>
          <w:rFonts w:hint="cs"/>
          <w:rtl/>
        </w:rPr>
        <w:t xml:space="preserve"> (סעיף 15 לדו"ח), מוצע</w:t>
      </w:r>
      <w:r w:rsidRPr="003C5AB7">
        <w:rPr>
          <w:rFonts w:hint="cs"/>
          <w:rtl/>
        </w:rPr>
        <w:t xml:space="preserve"> </w:t>
      </w:r>
      <w:r>
        <w:rPr>
          <w:rFonts w:hint="cs"/>
          <w:rtl/>
        </w:rPr>
        <w:t xml:space="preserve">להקנות לדיין סמכות לעיין במרשם התעבורה </w:t>
      </w:r>
      <w:proofErr w:type="spellStart"/>
      <w:r>
        <w:rPr>
          <w:rFonts w:hint="cs"/>
          <w:rtl/>
        </w:rPr>
        <w:t>המינהלי</w:t>
      </w:r>
      <w:proofErr w:type="spellEnd"/>
      <w:r w:rsidRPr="003C5AB7">
        <w:rPr>
          <w:rFonts w:hint="cs"/>
          <w:rtl/>
        </w:rPr>
        <w:t xml:space="preserve">, רק כאשר מתעוררת טענה שנוגעת לרישום קודם (לדוגמה, כאשר אדם שקיבל כפל קנס בשל </w:t>
      </w:r>
      <w:proofErr w:type="spellStart"/>
      <w:r w:rsidRPr="00EF7F4A">
        <w:rPr>
          <w:rFonts w:hint="cs"/>
          <w:rtl/>
        </w:rPr>
        <w:t>רצידיביזם</w:t>
      </w:r>
      <w:proofErr w:type="spellEnd"/>
      <w:r w:rsidRPr="003C5AB7">
        <w:rPr>
          <w:rFonts w:hint="cs"/>
          <w:rtl/>
        </w:rPr>
        <w:t xml:space="preserve"> טוען שלא היה מקום לכך</w:t>
      </w:r>
      <w:r>
        <w:rPr>
          <w:rFonts w:hint="cs"/>
          <w:rtl/>
        </w:rPr>
        <w:t xml:space="preserve">). עוד מובהר במסגרת הסעיף, כי אין בהוראה זו בכדי לגרוע מסמכות בית הדין לתעבורה לעיין במרשם הפלילי, במידת הצורך, לפי </w:t>
      </w:r>
      <w:r w:rsidRPr="00B24132">
        <w:rPr>
          <w:rtl/>
        </w:rPr>
        <w:t xml:space="preserve">הוראות חוק </w:t>
      </w:r>
      <w:r w:rsidRPr="00B24132">
        <w:rPr>
          <w:rFonts w:hint="eastAsia"/>
          <w:rtl/>
        </w:rPr>
        <w:t>המרשם</w:t>
      </w:r>
      <w:r w:rsidRPr="00B24132">
        <w:rPr>
          <w:rtl/>
        </w:rPr>
        <w:t xml:space="preserve"> </w:t>
      </w:r>
      <w:r w:rsidRPr="00B24132">
        <w:rPr>
          <w:rFonts w:hint="eastAsia"/>
          <w:rtl/>
        </w:rPr>
        <w:t>הפלילי</w:t>
      </w:r>
      <w:r w:rsidRPr="00B24132">
        <w:rPr>
          <w:rtl/>
        </w:rPr>
        <w:t xml:space="preserve"> </w:t>
      </w:r>
      <w:r w:rsidRPr="00B24132">
        <w:rPr>
          <w:rFonts w:hint="eastAsia"/>
          <w:rtl/>
        </w:rPr>
        <w:t>ותקנת</w:t>
      </w:r>
      <w:r w:rsidRPr="00B24132">
        <w:rPr>
          <w:rtl/>
        </w:rPr>
        <w:t xml:space="preserve"> </w:t>
      </w:r>
      <w:r w:rsidRPr="00B24132">
        <w:rPr>
          <w:rFonts w:hint="eastAsia"/>
          <w:rtl/>
        </w:rPr>
        <w:t>השבים</w:t>
      </w:r>
      <w:r w:rsidRPr="00B24132">
        <w:rPr>
          <w:rtl/>
        </w:rPr>
        <w:t xml:space="preserve">, </w:t>
      </w:r>
      <w:r w:rsidRPr="00B24132">
        <w:rPr>
          <w:rFonts w:hint="eastAsia"/>
          <w:rtl/>
        </w:rPr>
        <w:t>התשמ</w:t>
      </w:r>
      <w:r w:rsidRPr="00B24132">
        <w:rPr>
          <w:rtl/>
        </w:rPr>
        <w:t>"</w:t>
      </w:r>
      <w:r w:rsidRPr="00B24132">
        <w:rPr>
          <w:rFonts w:hint="eastAsia"/>
          <w:rtl/>
        </w:rPr>
        <w:t>א</w:t>
      </w:r>
      <w:r w:rsidRPr="00B24132">
        <w:rPr>
          <w:rtl/>
        </w:rPr>
        <w:t>-1981</w:t>
      </w:r>
      <w:r>
        <w:rPr>
          <w:rFonts w:hint="cs"/>
          <w:rtl/>
        </w:rPr>
        <w:t xml:space="preserve"> (להלן: </w:t>
      </w:r>
      <w:r>
        <w:rPr>
          <w:rFonts w:hint="cs"/>
          <w:b/>
          <w:bCs/>
          <w:rtl/>
        </w:rPr>
        <w:t>"חוק המרשם הפלילי"</w:t>
      </w:r>
      <w:r>
        <w:rPr>
          <w:rFonts w:hint="cs"/>
          <w:rtl/>
        </w:rPr>
        <w:t>)</w:t>
      </w:r>
      <w:r>
        <w:rPr>
          <w:rFonts w:hint="cs"/>
          <w:b/>
          <w:bCs/>
          <w:rtl/>
        </w:rPr>
        <w:t xml:space="preserve"> </w:t>
      </w:r>
      <w:r>
        <w:rPr>
          <w:rFonts w:hint="cs"/>
          <w:rtl/>
        </w:rPr>
        <w:t>(ראו פרט י' לתוספת הראשונה</w:t>
      </w:r>
      <w:r w:rsidRPr="003C5AB7">
        <w:rPr>
          <w:rFonts w:hint="cs"/>
          <w:rtl/>
        </w:rPr>
        <w:t>).</w:t>
      </w:r>
    </w:p>
    <w:p w:rsidR="00AB3999" w:rsidRDefault="00AB3999" w:rsidP="00AB3999">
      <w:pPr>
        <w:pStyle w:val="Hesber"/>
        <w:tabs>
          <w:tab w:val="left" w:pos="424"/>
        </w:tabs>
        <w:ind w:firstLine="0"/>
        <w:rPr>
          <w:b/>
          <w:bCs/>
          <w:rtl/>
        </w:rPr>
      </w:pPr>
    </w:p>
    <w:p w:rsidR="00AB3999" w:rsidRDefault="00AB3999" w:rsidP="00511DF3">
      <w:pPr>
        <w:pStyle w:val="Hesber1st"/>
        <w:tabs>
          <w:tab w:val="clear" w:pos="680"/>
        </w:tabs>
        <w:rPr>
          <w:rtl/>
        </w:rPr>
      </w:pPr>
      <w:r w:rsidRPr="00BA11ED">
        <w:rPr>
          <w:rFonts w:hint="cs"/>
          <w:b/>
          <w:bCs/>
          <w:rtl/>
        </w:rPr>
        <w:t xml:space="preserve">סעיף </w:t>
      </w:r>
      <w:r w:rsidR="00A05B81">
        <w:rPr>
          <w:rFonts w:hint="cs"/>
          <w:b/>
          <w:bCs/>
          <w:rtl/>
        </w:rPr>
        <w:t xml:space="preserve">25 </w:t>
      </w:r>
      <w:r w:rsidRPr="00511DF3">
        <w:rPr>
          <w:rtl/>
        </w:rPr>
        <w:t>–</w:t>
      </w:r>
      <w:r>
        <w:rPr>
          <w:rFonts w:hint="cs"/>
          <w:b/>
          <w:bCs/>
          <w:rtl/>
        </w:rPr>
        <w:t xml:space="preserve"> </w:t>
      </w:r>
      <w:r w:rsidRPr="00EF7F4A">
        <w:rPr>
          <w:rFonts w:hint="cs"/>
          <w:rtl/>
        </w:rPr>
        <w:t>הוראות</w:t>
      </w:r>
      <w:r w:rsidRPr="0030521C">
        <w:rPr>
          <w:rFonts w:hint="cs"/>
          <w:rtl/>
        </w:rPr>
        <w:t xml:space="preserve"> חוק בתי דין </w:t>
      </w:r>
      <w:proofErr w:type="spellStart"/>
      <w:r w:rsidRPr="0030521C">
        <w:rPr>
          <w:rFonts w:hint="cs"/>
          <w:rtl/>
        </w:rPr>
        <w:t>מינהליים</w:t>
      </w:r>
      <w:proofErr w:type="spellEnd"/>
      <w:r w:rsidRPr="0030521C">
        <w:rPr>
          <w:rFonts w:hint="cs"/>
          <w:rtl/>
        </w:rPr>
        <w:t xml:space="preserve"> הן שיורית. לכן, ככל שאין בחוק זה הסדר אחר המתגבר על ההסדרים הקיימים בחוק בתי דין </w:t>
      </w:r>
      <w:proofErr w:type="spellStart"/>
      <w:r w:rsidRPr="0030521C">
        <w:rPr>
          <w:rFonts w:hint="cs"/>
          <w:rtl/>
        </w:rPr>
        <w:t>מינהליים</w:t>
      </w:r>
      <w:proofErr w:type="spellEnd"/>
      <w:r>
        <w:rPr>
          <w:rFonts w:hint="cs"/>
          <w:rtl/>
        </w:rPr>
        <w:t xml:space="preserve"> (ראו לעניין זה סעיף 4(ג) לחוק בתי דין </w:t>
      </w:r>
      <w:proofErr w:type="spellStart"/>
      <w:r>
        <w:rPr>
          <w:rFonts w:hint="cs"/>
          <w:rtl/>
        </w:rPr>
        <w:t>מינהליים</w:t>
      </w:r>
      <w:proofErr w:type="spellEnd"/>
      <w:r>
        <w:rPr>
          <w:rFonts w:hint="cs"/>
          <w:rtl/>
        </w:rPr>
        <w:t>)</w:t>
      </w:r>
      <w:r w:rsidRPr="0030521C">
        <w:rPr>
          <w:rFonts w:hint="cs"/>
          <w:rtl/>
        </w:rPr>
        <w:t>, וככל שהוראה מסוימת לא הוחרגה</w:t>
      </w:r>
      <w:r>
        <w:rPr>
          <w:rFonts w:hint="cs"/>
          <w:rtl/>
        </w:rPr>
        <w:t xml:space="preserve"> </w:t>
      </w:r>
      <w:r>
        <w:rPr>
          <w:rtl/>
        </w:rPr>
        <w:t>–</w:t>
      </w:r>
      <w:r w:rsidRPr="0030521C">
        <w:rPr>
          <w:rFonts w:hint="cs"/>
          <w:rtl/>
        </w:rPr>
        <w:t xml:space="preserve"> היא חלה</w:t>
      </w:r>
      <w:r>
        <w:rPr>
          <w:rFonts w:hint="cs"/>
          <w:rtl/>
        </w:rPr>
        <w:t xml:space="preserve">. במסגרת סעיף זה מוצע לקבוע, כי חוק בתי דין </w:t>
      </w:r>
      <w:proofErr w:type="spellStart"/>
      <w:r>
        <w:rPr>
          <w:rFonts w:hint="cs"/>
          <w:rtl/>
        </w:rPr>
        <w:t>מינהליים</w:t>
      </w:r>
      <w:proofErr w:type="spellEnd"/>
      <w:r>
        <w:rPr>
          <w:rFonts w:hint="cs"/>
          <w:rtl/>
        </w:rPr>
        <w:t xml:space="preserve"> יחול על בית דין לתעבורה, למעט הסעיפים המפורטים בסעיף. יצוין, כי מרבית ההוראות שמוצע </w:t>
      </w:r>
      <w:proofErr w:type="spellStart"/>
      <w:r>
        <w:rPr>
          <w:rFonts w:hint="cs"/>
          <w:rtl/>
        </w:rPr>
        <w:t>להחריג</w:t>
      </w:r>
      <w:proofErr w:type="spellEnd"/>
      <w:r>
        <w:rPr>
          <w:rFonts w:hint="cs"/>
          <w:rtl/>
        </w:rPr>
        <w:t xml:space="preserve"> הינן הוראות שממילא אינן רלוונטיות להסדר זה. כך, למשל, בענייננו מדובר במותב של דן יחיד ומשכך ממילא סעיפים 7, 16, 17, 18 ו-41 אינן רלוונטיות. כך גם, סעיף 13 אינו רלוונטי שכן בענייננו מוצע, כי הדיינים יהיו עובדי מדינה. סעיפים אחרים אינם רלוונטיים שכן נקבע בענייננו הסדרים פרטניים בדבר אופן ניהול הדיון בפני בית הדין ובדבר סמכותו.</w:t>
      </w:r>
    </w:p>
    <w:p w:rsidR="00AB3999" w:rsidRDefault="00AB3999" w:rsidP="00511DF3">
      <w:pPr>
        <w:pStyle w:val="Hesber"/>
        <w:rPr>
          <w:rtl/>
        </w:rPr>
      </w:pPr>
      <w:r w:rsidRPr="00EF7F4A">
        <w:rPr>
          <w:rFonts w:hint="cs"/>
          <w:rtl/>
        </w:rPr>
        <w:t>יצוין</w:t>
      </w:r>
      <w:r>
        <w:rPr>
          <w:rFonts w:hint="cs"/>
          <w:rtl/>
        </w:rPr>
        <w:t xml:space="preserve">, כי ישנם סעיפים נוספים שאינם חלים בהתאם להוראת סעיף 4(ג) לחוק בתי דין </w:t>
      </w:r>
      <w:proofErr w:type="spellStart"/>
      <w:r>
        <w:rPr>
          <w:rFonts w:hint="cs"/>
          <w:rtl/>
        </w:rPr>
        <w:t>מינהליים</w:t>
      </w:r>
      <w:proofErr w:type="spellEnd"/>
      <w:r>
        <w:rPr>
          <w:rFonts w:hint="cs"/>
          <w:rtl/>
        </w:rPr>
        <w:t xml:space="preserve"> וזאת באשר קיימת בענייננו הוראה אחרת, ומשכך אין צורך </w:t>
      </w:r>
      <w:proofErr w:type="spellStart"/>
      <w:r>
        <w:rPr>
          <w:rFonts w:hint="cs"/>
          <w:rtl/>
        </w:rPr>
        <w:t>להחריגם</w:t>
      </w:r>
      <w:proofErr w:type="spellEnd"/>
      <w:r>
        <w:rPr>
          <w:rFonts w:hint="cs"/>
          <w:rtl/>
        </w:rPr>
        <w:t xml:space="preserve"> באופן מפורש. </w:t>
      </w:r>
    </w:p>
    <w:p w:rsidR="00AB3999" w:rsidRDefault="00AB3999" w:rsidP="00AB3999">
      <w:pPr>
        <w:pStyle w:val="Hesber"/>
        <w:tabs>
          <w:tab w:val="left" w:pos="424"/>
        </w:tabs>
        <w:ind w:firstLine="0"/>
        <w:rPr>
          <w:rtl/>
        </w:rPr>
      </w:pPr>
    </w:p>
    <w:p w:rsidR="00AB3999" w:rsidRDefault="00AB3999" w:rsidP="00511DF3">
      <w:pPr>
        <w:pStyle w:val="Hesber1st"/>
        <w:tabs>
          <w:tab w:val="clear" w:pos="680"/>
        </w:tabs>
        <w:rPr>
          <w:b/>
          <w:bCs/>
          <w:rtl/>
        </w:rPr>
      </w:pPr>
      <w:r>
        <w:rPr>
          <w:rFonts w:hint="cs"/>
          <w:b/>
          <w:bCs/>
          <w:rtl/>
        </w:rPr>
        <w:t xml:space="preserve">סעיף </w:t>
      </w:r>
      <w:r w:rsidR="00A05B81">
        <w:rPr>
          <w:rFonts w:hint="cs"/>
          <w:b/>
          <w:bCs/>
          <w:rtl/>
        </w:rPr>
        <w:t>26</w:t>
      </w:r>
      <w:r w:rsidR="00903752">
        <w:rPr>
          <w:rFonts w:hint="cs"/>
          <w:rtl/>
        </w:rPr>
        <w:t xml:space="preserve"> </w:t>
      </w:r>
      <w:r w:rsidRPr="00511DF3">
        <w:rPr>
          <w:rtl/>
        </w:rPr>
        <w:t>–</w:t>
      </w:r>
      <w:r>
        <w:rPr>
          <w:rFonts w:hint="cs"/>
          <w:b/>
          <w:bCs/>
          <w:rtl/>
        </w:rPr>
        <w:t xml:space="preserve"> </w:t>
      </w:r>
      <w:r>
        <w:rPr>
          <w:rFonts w:hint="cs"/>
          <w:rtl/>
        </w:rPr>
        <w:t>במסגרת הצעת החוק מוצע להסדיר את הליכי הערעור על החלטת בית דין לתעבורה</w:t>
      </w:r>
      <w:r w:rsidR="00A05B81">
        <w:rPr>
          <w:rFonts w:hint="cs"/>
          <w:rtl/>
        </w:rPr>
        <w:t>.</w:t>
      </w:r>
    </w:p>
    <w:p w:rsidR="00AB3999" w:rsidRDefault="00AB3999" w:rsidP="00511DF3">
      <w:pPr>
        <w:pStyle w:val="Hesber"/>
        <w:rPr>
          <w:color w:val="000000"/>
          <w:szCs w:val="20"/>
        </w:rPr>
      </w:pPr>
      <w:r w:rsidRPr="00511DF3">
        <w:rPr>
          <w:rFonts w:hint="eastAsia"/>
          <w:rtl/>
        </w:rPr>
        <w:t>סעיף</w:t>
      </w:r>
      <w:r w:rsidRPr="00511DF3">
        <w:rPr>
          <w:rtl/>
        </w:rPr>
        <w:t xml:space="preserve"> </w:t>
      </w:r>
      <w:r w:rsidRPr="00511DF3">
        <w:rPr>
          <w:rFonts w:hint="eastAsia"/>
          <w:rtl/>
        </w:rPr>
        <w:t>קטן</w:t>
      </w:r>
      <w:r w:rsidRPr="00511DF3">
        <w:rPr>
          <w:rtl/>
        </w:rPr>
        <w:t xml:space="preserve"> (א)</w:t>
      </w:r>
      <w:r>
        <w:rPr>
          <w:rFonts w:hint="cs"/>
          <w:rtl/>
        </w:rPr>
        <w:t xml:space="preserve"> </w:t>
      </w:r>
      <w:r>
        <w:rPr>
          <w:rtl/>
        </w:rPr>
        <w:t>–</w:t>
      </w:r>
      <w:r>
        <w:rPr>
          <w:rFonts w:hint="cs"/>
          <w:rtl/>
        </w:rPr>
        <w:t xml:space="preserve"> </w:t>
      </w:r>
      <w:r w:rsidRPr="00EF7F4A">
        <w:rPr>
          <w:rFonts w:hint="cs"/>
          <w:rtl/>
        </w:rPr>
        <w:t>מוצע</w:t>
      </w:r>
      <w:r>
        <w:rPr>
          <w:rFonts w:hint="cs"/>
          <w:rtl/>
        </w:rPr>
        <w:t xml:space="preserve">, כי </w:t>
      </w:r>
      <w:r w:rsidR="00A05B81" w:rsidRPr="00783C1D">
        <w:rPr>
          <w:rtl/>
        </w:rPr>
        <w:t xml:space="preserve">על החלטת הדיין תינתן זכות ערעור לבית משפט </w:t>
      </w:r>
      <w:r w:rsidR="00A05B81">
        <w:rPr>
          <w:rFonts w:hint="cs"/>
          <w:rtl/>
        </w:rPr>
        <w:t xml:space="preserve">שלום לענייני </w:t>
      </w:r>
      <w:r w:rsidR="00A05B81" w:rsidRPr="00783C1D">
        <w:rPr>
          <w:rtl/>
        </w:rPr>
        <w:t>תעבורה</w:t>
      </w:r>
      <w:r>
        <w:rPr>
          <w:rFonts w:hint="cs"/>
          <w:rtl/>
        </w:rPr>
        <w:t xml:space="preserve">, אשר לו הידע והניסיון בעניינים שמוצע </w:t>
      </w:r>
      <w:r w:rsidR="00A05B81">
        <w:rPr>
          <w:rFonts w:hint="cs"/>
          <w:rtl/>
        </w:rPr>
        <w:t>להעבירם לסמכות</w:t>
      </w:r>
      <w:r>
        <w:rPr>
          <w:rFonts w:hint="cs"/>
          <w:rtl/>
        </w:rPr>
        <w:t xml:space="preserve"> בית דין לתעבורה. עוד</w:t>
      </w:r>
      <w:r w:rsidRPr="00517019">
        <w:rPr>
          <w:rFonts w:hint="cs"/>
          <w:rtl/>
        </w:rPr>
        <w:t xml:space="preserve"> מוצע, כי פרק הזמן להגשת ערעור </w:t>
      </w:r>
      <w:r w:rsidRPr="00A05B81">
        <w:rPr>
          <w:rFonts w:hint="cs"/>
          <w:rtl/>
        </w:rPr>
        <w:t>יהיה</w:t>
      </w:r>
      <w:r w:rsidRPr="00517019">
        <w:rPr>
          <w:rFonts w:hint="cs"/>
          <w:rtl/>
        </w:rPr>
        <w:t xml:space="preserve"> 45 יום בשים לב לפרק הזמן שנקבע להגשת ערעור </w:t>
      </w:r>
      <w:proofErr w:type="spellStart"/>
      <w:r w:rsidRPr="00517019">
        <w:rPr>
          <w:rFonts w:hint="cs"/>
          <w:rtl/>
        </w:rPr>
        <w:t>מינהלי</w:t>
      </w:r>
      <w:proofErr w:type="spellEnd"/>
      <w:r w:rsidRPr="00517019">
        <w:rPr>
          <w:rFonts w:hint="cs"/>
          <w:rtl/>
        </w:rPr>
        <w:t xml:space="preserve"> </w:t>
      </w:r>
      <w:r>
        <w:rPr>
          <w:rFonts w:hint="cs"/>
          <w:rtl/>
        </w:rPr>
        <w:t>(סעיף 23(ב) לחוק</w:t>
      </w:r>
      <w:r w:rsidRPr="00517019">
        <w:rPr>
          <w:rFonts w:hint="cs"/>
          <w:rtl/>
        </w:rPr>
        <w:t xml:space="preserve"> בתי משפט </w:t>
      </w:r>
      <w:proofErr w:type="spellStart"/>
      <w:r w:rsidRPr="00517019">
        <w:rPr>
          <w:rFonts w:hint="cs"/>
          <w:rtl/>
        </w:rPr>
        <w:t>לענינים</w:t>
      </w:r>
      <w:proofErr w:type="spellEnd"/>
      <w:r w:rsidRPr="00517019">
        <w:rPr>
          <w:rFonts w:hint="cs"/>
          <w:rtl/>
        </w:rPr>
        <w:t xml:space="preserve"> </w:t>
      </w:r>
      <w:proofErr w:type="spellStart"/>
      <w:r w:rsidRPr="00517019">
        <w:rPr>
          <w:rFonts w:hint="cs"/>
          <w:rtl/>
        </w:rPr>
        <w:t>מינהליים</w:t>
      </w:r>
      <w:proofErr w:type="spellEnd"/>
      <w:r>
        <w:rPr>
          <w:rFonts w:hint="cs"/>
          <w:rtl/>
        </w:rPr>
        <w:t>)</w:t>
      </w:r>
      <w:r w:rsidRPr="00517019">
        <w:rPr>
          <w:rFonts w:hint="cs"/>
          <w:rtl/>
        </w:rPr>
        <w:t>.</w:t>
      </w:r>
      <w:r>
        <w:rPr>
          <w:rFonts w:hint="cs"/>
          <w:rtl/>
        </w:rPr>
        <w:t xml:space="preserve"> יובהר, כי ערעור כאמור יידון בפני דן יחיד, וזאת בהתאם לסעיף 47 לחוק בתי המשפט, שקובע ברירת מחדל של דיון בפני דן יחיד</w:t>
      </w:r>
      <w:r>
        <w:rPr>
          <w:rFonts w:hint="cs"/>
          <w:color w:val="000000"/>
          <w:szCs w:val="20"/>
          <w:rtl/>
        </w:rPr>
        <w:t xml:space="preserve"> </w:t>
      </w:r>
      <w:r w:rsidR="00A05B81">
        <w:rPr>
          <w:rFonts w:hint="cs"/>
          <w:rtl/>
        </w:rPr>
        <w:t>ב</w:t>
      </w:r>
      <w:r w:rsidRPr="00D8638E">
        <w:rPr>
          <w:rFonts w:hint="eastAsia"/>
          <w:rtl/>
        </w:rPr>
        <w:t>בית</w:t>
      </w:r>
      <w:r w:rsidRPr="00D8638E">
        <w:rPr>
          <w:rtl/>
        </w:rPr>
        <w:t xml:space="preserve"> </w:t>
      </w:r>
      <w:r w:rsidRPr="00D8638E">
        <w:rPr>
          <w:rFonts w:hint="eastAsia"/>
          <w:rtl/>
        </w:rPr>
        <w:t>משפט</w:t>
      </w:r>
      <w:r w:rsidRPr="00D8638E">
        <w:rPr>
          <w:rtl/>
        </w:rPr>
        <w:t xml:space="preserve"> </w:t>
      </w:r>
      <w:r w:rsidRPr="00D8638E">
        <w:rPr>
          <w:rFonts w:hint="eastAsia"/>
          <w:rtl/>
        </w:rPr>
        <w:t>שלום</w:t>
      </w:r>
      <w:r>
        <w:rPr>
          <w:rFonts w:hint="cs"/>
          <w:color w:val="000000"/>
          <w:szCs w:val="20"/>
          <w:rtl/>
        </w:rPr>
        <w:t>.</w:t>
      </w:r>
    </w:p>
    <w:p w:rsidR="00117B7E" w:rsidRDefault="00AB3999" w:rsidP="00511DF3">
      <w:pPr>
        <w:pStyle w:val="Hesber"/>
      </w:pPr>
      <w:r w:rsidRPr="00511DF3">
        <w:rPr>
          <w:rFonts w:hint="eastAsia"/>
          <w:rtl/>
        </w:rPr>
        <w:t>סעיף</w:t>
      </w:r>
      <w:r w:rsidRPr="00511DF3">
        <w:rPr>
          <w:rtl/>
        </w:rPr>
        <w:t xml:space="preserve"> </w:t>
      </w:r>
      <w:r w:rsidRPr="00511DF3">
        <w:rPr>
          <w:rFonts w:hint="eastAsia"/>
          <w:rtl/>
        </w:rPr>
        <w:t>קטן</w:t>
      </w:r>
      <w:r w:rsidRPr="00511DF3">
        <w:rPr>
          <w:rtl/>
        </w:rPr>
        <w:t xml:space="preserve"> (ב)</w:t>
      </w:r>
      <w:r w:rsidRPr="00A05B81">
        <w:rPr>
          <w:rFonts w:hint="cs"/>
          <w:rtl/>
        </w:rPr>
        <w:t xml:space="preserve"> </w:t>
      </w:r>
      <w:r>
        <w:rPr>
          <w:rtl/>
        </w:rPr>
        <w:t>–</w:t>
      </w:r>
      <w:r>
        <w:rPr>
          <w:rFonts w:hint="cs"/>
          <w:rtl/>
        </w:rPr>
        <w:t xml:space="preserve"> מציע את דרך הערעור על החלטה אחרת של בית דין לתעבורה. בהליכים </w:t>
      </w:r>
      <w:proofErr w:type="spellStart"/>
      <w:r w:rsidRPr="00EF7F4A">
        <w:rPr>
          <w:rFonts w:hint="cs"/>
          <w:rtl/>
        </w:rPr>
        <w:t>מינהליים</w:t>
      </w:r>
      <w:proofErr w:type="spellEnd"/>
      <w:r>
        <w:rPr>
          <w:rFonts w:hint="cs"/>
          <w:rtl/>
        </w:rPr>
        <w:t xml:space="preserve"> אין ככלל אפשרות לערער על החלטות ביניים, אלא על החלטות ביניים מסוימות שמנויות במסגרת החוק</w:t>
      </w:r>
      <w:r w:rsidR="00A05B81">
        <w:rPr>
          <w:rFonts w:hint="cs"/>
          <w:rtl/>
        </w:rPr>
        <w:t>, וזאת על מנת להבטיח סעד מהיר ויעיל</w:t>
      </w:r>
      <w:r>
        <w:rPr>
          <w:rFonts w:hint="cs"/>
          <w:rtl/>
        </w:rPr>
        <w:t xml:space="preserve">. מודל זה, קיים </w:t>
      </w:r>
      <w:r w:rsidR="00A05B81">
        <w:rPr>
          <w:rFonts w:hint="cs"/>
          <w:rtl/>
        </w:rPr>
        <w:t xml:space="preserve">גם </w:t>
      </w:r>
      <w:r>
        <w:rPr>
          <w:rFonts w:hint="cs"/>
          <w:rtl/>
        </w:rPr>
        <w:t xml:space="preserve">בחוק הכניסה לישראל ובחוק בתי משפט </w:t>
      </w:r>
      <w:proofErr w:type="spellStart"/>
      <w:r>
        <w:rPr>
          <w:rFonts w:hint="cs"/>
          <w:rtl/>
        </w:rPr>
        <w:t>לענינים</w:t>
      </w:r>
      <w:proofErr w:type="spellEnd"/>
      <w:r>
        <w:rPr>
          <w:rFonts w:hint="cs"/>
          <w:rtl/>
        </w:rPr>
        <w:t xml:space="preserve"> </w:t>
      </w:r>
      <w:proofErr w:type="spellStart"/>
      <w:r>
        <w:rPr>
          <w:rFonts w:hint="cs"/>
          <w:rtl/>
        </w:rPr>
        <w:t>מינהליים</w:t>
      </w:r>
      <w:proofErr w:type="spellEnd"/>
      <w:r>
        <w:rPr>
          <w:rFonts w:hint="cs"/>
          <w:rtl/>
        </w:rPr>
        <w:t>. סוגי ההחלטות המנויות בסעיף מבוססות על סוגי ההחלטות ש</w:t>
      </w:r>
      <w:r w:rsidR="00A05B81">
        <w:rPr>
          <w:rFonts w:hint="cs"/>
          <w:rtl/>
        </w:rPr>
        <w:t>ניתן להגיש בעניינן בקשת</w:t>
      </w:r>
      <w:r>
        <w:rPr>
          <w:rFonts w:hint="cs"/>
          <w:rtl/>
        </w:rPr>
        <w:t xml:space="preserve"> רשות ערעור בחוק בתי משפט </w:t>
      </w:r>
      <w:proofErr w:type="spellStart"/>
      <w:r>
        <w:rPr>
          <w:rFonts w:hint="cs"/>
          <w:rtl/>
        </w:rPr>
        <w:t>לענינים</w:t>
      </w:r>
      <w:proofErr w:type="spellEnd"/>
      <w:r>
        <w:rPr>
          <w:rFonts w:hint="cs"/>
          <w:rtl/>
        </w:rPr>
        <w:t xml:space="preserve"> </w:t>
      </w:r>
      <w:proofErr w:type="spellStart"/>
      <w:r>
        <w:rPr>
          <w:rFonts w:hint="cs"/>
          <w:rtl/>
        </w:rPr>
        <w:t>מינהליים</w:t>
      </w:r>
      <w:proofErr w:type="spellEnd"/>
      <w:r>
        <w:rPr>
          <w:rFonts w:hint="cs"/>
          <w:rtl/>
        </w:rPr>
        <w:t xml:space="preserve">, בשינויים הנדרשים נוכח אופי ומאפייני ההליכים. יצוין בהקשר זה, כי בענייננו סעד זמני אינו רלוונטי, באשר אדם ממילא </w:t>
      </w:r>
      <w:r w:rsidR="00A05B81">
        <w:rPr>
          <w:rFonts w:hint="cs"/>
          <w:rtl/>
        </w:rPr>
        <w:t xml:space="preserve">אינו </w:t>
      </w:r>
      <w:r>
        <w:rPr>
          <w:rFonts w:hint="cs"/>
          <w:rtl/>
        </w:rPr>
        <w:t xml:space="preserve">נדרש לשלם את </w:t>
      </w:r>
      <w:r w:rsidR="005B4A40">
        <w:rPr>
          <w:rFonts w:hint="cs"/>
          <w:rtl/>
        </w:rPr>
        <w:t>קנס ההפרה</w:t>
      </w:r>
      <w:r>
        <w:rPr>
          <w:rFonts w:hint="cs"/>
          <w:rtl/>
        </w:rPr>
        <w:t xml:space="preserve"> טרם הגשת ערר לבית דין לתעבורה (ראו סעיף </w:t>
      </w:r>
      <w:r w:rsidR="00A05B81">
        <w:rPr>
          <w:rFonts w:hint="cs"/>
          <w:rtl/>
        </w:rPr>
        <w:t>9</w:t>
      </w:r>
      <w:r>
        <w:rPr>
          <w:rFonts w:hint="cs"/>
          <w:rtl/>
        </w:rPr>
        <w:t xml:space="preserve">(א) לחוק המוצע). </w:t>
      </w:r>
      <w:r w:rsidR="00117B7E">
        <w:rPr>
          <w:rFonts w:hint="cs"/>
          <w:rtl/>
        </w:rPr>
        <w:t xml:space="preserve">בכל הנוגע להחלטה בדבר פסלות דיין, יצוין כי </w:t>
      </w:r>
      <w:r w:rsidR="00117B7E" w:rsidRPr="00511DF3">
        <w:rPr>
          <w:rtl/>
        </w:rPr>
        <w:t xml:space="preserve">מבחינת הדין המהותי, סעיף 15 לחוק בתי דין </w:t>
      </w:r>
      <w:proofErr w:type="spellStart"/>
      <w:r w:rsidR="00117B7E" w:rsidRPr="00511DF3">
        <w:rPr>
          <w:rtl/>
        </w:rPr>
        <w:t>מינהליים</w:t>
      </w:r>
      <w:proofErr w:type="spellEnd"/>
      <w:r w:rsidR="00117B7E" w:rsidRPr="00511DF3">
        <w:rPr>
          <w:rtl/>
        </w:rPr>
        <w:t xml:space="preserve"> </w:t>
      </w:r>
      <w:r w:rsidR="00117B7E">
        <w:rPr>
          <w:rFonts w:hint="cs"/>
          <w:rtl/>
        </w:rPr>
        <w:t>קובע הוראות לעניין ניגוד</w:t>
      </w:r>
      <w:r w:rsidR="00117B7E" w:rsidRPr="00511DF3">
        <w:rPr>
          <w:rtl/>
        </w:rPr>
        <w:t xml:space="preserve"> עניינים בערר מסוים</w:t>
      </w:r>
      <w:r w:rsidR="00117B7E">
        <w:rPr>
          <w:rFonts w:hint="cs"/>
          <w:rtl/>
        </w:rPr>
        <w:t>.</w:t>
      </w:r>
      <w:r w:rsidR="00117B7E" w:rsidRPr="00511DF3">
        <w:rPr>
          <w:rtl/>
        </w:rPr>
        <w:t xml:space="preserve"> </w:t>
      </w:r>
      <w:r w:rsidR="00117B7E">
        <w:rPr>
          <w:rFonts w:hint="cs"/>
          <w:rtl/>
        </w:rPr>
        <w:t>לצד הוראה זו</w:t>
      </w:r>
      <w:r w:rsidR="00117B7E" w:rsidRPr="00511DF3">
        <w:rPr>
          <w:rtl/>
        </w:rPr>
        <w:t xml:space="preserve">, יש להחיל את אמות המידה המהותיות </w:t>
      </w:r>
      <w:r w:rsidR="00117B7E">
        <w:rPr>
          <w:rFonts w:hint="cs"/>
          <w:rtl/>
        </w:rPr>
        <w:t>בדבר</w:t>
      </w:r>
      <w:r w:rsidR="00117B7E" w:rsidRPr="00511DF3">
        <w:rPr>
          <w:rtl/>
        </w:rPr>
        <w:t xml:space="preserve"> פסלות</w:t>
      </w:r>
      <w:r w:rsidR="00117B7E" w:rsidRPr="00E8646A">
        <w:rPr>
          <w:rtl/>
        </w:rPr>
        <w:t xml:space="preserve"> שופט על דייני בתי דין </w:t>
      </w:r>
      <w:proofErr w:type="spellStart"/>
      <w:r w:rsidR="00117B7E" w:rsidRPr="00E8646A">
        <w:rPr>
          <w:rtl/>
        </w:rPr>
        <w:t>מינהליים</w:t>
      </w:r>
      <w:proofErr w:type="spellEnd"/>
      <w:r w:rsidR="00117B7E">
        <w:rPr>
          <w:rFonts w:hint="cs"/>
          <w:rtl/>
        </w:rPr>
        <w:t>, וזאת בהתאם</w:t>
      </w:r>
      <w:r w:rsidR="00117B7E" w:rsidRPr="00511DF3">
        <w:rPr>
          <w:rtl/>
        </w:rPr>
        <w:t xml:space="preserve"> </w:t>
      </w:r>
      <w:r w:rsidR="00117B7E">
        <w:rPr>
          <w:rFonts w:hint="cs"/>
          <w:rtl/>
        </w:rPr>
        <w:t>ל</w:t>
      </w:r>
      <w:r w:rsidR="00117B7E" w:rsidRPr="00511DF3">
        <w:rPr>
          <w:rtl/>
        </w:rPr>
        <w:t xml:space="preserve">פסיקתו העקבית של </w:t>
      </w:r>
      <w:r w:rsidR="00117B7E">
        <w:rPr>
          <w:rFonts w:hint="cs"/>
          <w:rtl/>
        </w:rPr>
        <w:t>בתי</w:t>
      </w:r>
      <w:r w:rsidR="00117B7E" w:rsidRPr="00E8646A">
        <w:rPr>
          <w:rtl/>
        </w:rPr>
        <w:t xml:space="preserve"> המשפט ו</w:t>
      </w:r>
      <w:r w:rsidR="00117B7E">
        <w:rPr>
          <w:rFonts w:hint="cs"/>
          <w:rtl/>
        </w:rPr>
        <w:t>ל</w:t>
      </w:r>
      <w:r w:rsidR="00117B7E" w:rsidRPr="00511DF3">
        <w:rPr>
          <w:rtl/>
        </w:rPr>
        <w:t xml:space="preserve">עקרונות היסוד החלים על </w:t>
      </w:r>
      <w:r w:rsidR="00117B7E" w:rsidRPr="00E8646A">
        <w:rPr>
          <w:rtl/>
        </w:rPr>
        <w:t>גופים בעלי סמכויות שפיטה</w:t>
      </w:r>
      <w:r w:rsidR="00117B7E" w:rsidRPr="00511DF3">
        <w:rPr>
          <w:rtl/>
        </w:rPr>
        <w:t>.</w:t>
      </w:r>
    </w:p>
    <w:p w:rsidR="00AB3999" w:rsidRDefault="00AB3999" w:rsidP="00511DF3">
      <w:pPr>
        <w:pStyle w:val="Hesber"/>
        <w:rPr>
          <w:rtl/>
        </w:rPr>
      </w:pPr>
      <w:r w:rsidRPr="00511DF3">
        <w:rPr>
          <w:rFonts w:hint="eastAsia"/>
          <w:rtl/>
        </w:rPr>
        <w:t>סעיף</w:t>
      </w:r>
      <w:r w:rsidRPr="00511DF3">
        <w:rPr>
          <w:rtl/>
        </w:rPr>
        <w:t xml:space="preserve"> קטן (ג) –</w:t>
      </w:r>
      <w:r>
        <w:rPr>
          <w:rFonts w:hint="cs"/>
          <w:rtl/>
        </w:rPr>
        <w:t xml:space="preserve"> בשים לב לכך שהפרות תעבורה יטופלו במישור </w:t>
      </w:r>
      <w:proofErr w:type="spellStart"/>
      <w:r>
        <w:rPr>
          <w:rFonts w:hint="cs"/>
          <w:rtl/>
        </w:rPr>
        <w:t>המינהלי</w:t>
      </w:r>
      <w:proofErr w:type="spellEnd"/>
      <w:r>
        <w:rPr>
          <w:rFonts w:hint="cs"/>
          <w:rtl/>
        </w:rPr>
        <w:t xml:space="preserve"> ובהתאם בית דין לתעבור</w:t>
      </w:r>
      <w:r w:rsidR="00980D6D">
        <w:rPr>
          <w:rFonts w:hint="cs"/>
          <w:rtl/>
        </w:rPr>
        <w:t>ה</w:t>
      </w:r>
      <w:r>
        <w:rPr>
          <w:rFonts w:hint="cs"/>
          <w:rtl/>
        </w:rPr>
        <w:t xml:space="preserve"> יקיים ביקורת שיפוטית על ההחלטה </w:t>
      </w:r>
      <w:r>
        <w:rPr>
          <w:rtl/>
        </w:rPr>
        <w:t>–</w:t>
      </w:r>
      <w:r>
        <w:rPr>
          <w:rFonts w:hint="cs"/>
          <w:rtl/>
        </w:rPr>
        <w:t xml:space="preserve"> מוצע שבית המשפט ידון בערעור כערעור </w:t>
      </w:r>
      <w:proofErr w:type="spellStart"/>
      <w:r>
        <w:rPr>
          <w:rFonts w:hint="cs"/>
          <w:rtl/>
        </w:rPr>
        <w:t>מינהלי</w:t>
      </w:r>
      <w:proofErr w:type="spellEnd"/>
      <w:r>
        <w:rPr>
          <w:rFonts w:hint="cs"/>
          <w:rtl/>
        </w:rPr>
        <w:t xml:space="preserve">. השופט (בדימוס) יצחק זמיר התייחס </w:t>
      </w:r>
      <w:r w:rsidRPr="00EF7F4A">
        <w:rPr>
          <w:rFonts w:hint="cs"/>
          <w:rtl/>
        </w:rPr>
        <w:t>בספרו</w:t>
      </w:r>
      <w:r>
        <w:rPr>
          <w:rFonts w:hint="cs"/>
          <w:rtl/>
        </w:rPr>
        <w:t xml:space="preserve"> "הסמכות </w:t>
      </w:r>
      <w:proofErr w:type="spellStart"/>
      <w:r>
        <w:rPr>
          <w:rFonts w:hint="cs"/>
          <w:rtl/>
        </w:rPr>
        <w:t>המינהלית</w:t>
      </w:r>
      <w:proofErr w:type="spellEnd"/>
      <w:r>
        <w:rPr>
          <w:rFonts w:hint="cs"/>
          <w:rtl/>
        </w:rPr>
        <w:t xml:space="preserve">" למאפייניו של ערעור </w:t>
      </w:r>
      <w:proofErr w:type="spellStart"/>
      <w:r>
        <w:rPr>
          <w:rFonts w:hint="cs"/>
          <w:rtl/>
        </w:rPr>
        <w:t>מינהלי</w:t>
      </w:r>
      <w:proofErr w:type="spellEnd"/>
      <w:r>
        <w:rPr>
          <w:rFonts w:hint="cs"/>
          <w:rtl/>
        </w:rPr>
        <w:t>, וכך צוין לעניין זה</w:t>
      </w:r>
      <w:r>
        <w:rPr>
          <w:rStyle w:val="a9"/>
          <w:rtl/>
        </w:rPr>
        <w:footnoteReference w:id="36"/>
      </w:r>
      <w:r>
        <w:rPr>
          <w:rFonts w:hint="cs"/>
          <w:rtl/>
        </w:rPr>
        <w:t xml:space="preserve">: </w:t>
      </w:r>
      <w:r w:rsidRPr="00F44DEF">
        <w:rPr>
          <w:rtl/>
        </w:rPr>
        <w:t xml:space="preserve">"ערעור על החלטה של בית דין </w:t>
      </w:r>
      <w:proofErr w:type="spellStart"/>
      <w:r w:rsidRPr="00F44DEF">
        <w:rPr>
          <w:rtl/>
        </w:rPr>
        <w:t>מינהלי</w:t>
      </w:r>
      <w:proofErr w:type="spellEnd"/>
      <w:r w:rsidRPr="00F44DEF">
        <w:rPr>
          <w:rtl/>
        </w:rPr>
        <w:t xml:space="preserve"> דומה לערעור על פסק דין בעניין אזרחי מבחינה זאת שבית המשפט שלערעור בודק, בזה כמו בזה, את שאלת החוקיות של החלטת ערכאה שיפוטית. עם זאת ערעור על החלטת בית דין </w:t>
      </w:r>
      <w:proofErr w:type="spellStart"/>
      <w:r w:rsidRPr="00F44DEF">
        <w:rPr>
          <w:rtl/>
        </w:rPr>
        <w:t>מינהלי</w:t>
      </w:r>
      <w:proofErr w:type="spellEnd"/>
      <w:r w:rsidRPr="00F44DEF">
        <w:rPr>
          <w:rtl/>
        </w:rPr>
        <w:t xml:space="preserve"> שונה מערעור על פסק דין בעניין אזרחי, בעיקר משום שבערעור כזה בית המשפט נכנס </w:t>
      </w:r>
      <w:proofErr w:type="spellStart"/>
      <w:r w:rsidRPr="00F44DEF">
        <w:rPr>
          <w:rtl/>
        </w:rPr>
        <w:t>לטירטוריה</w:t>
      </w:r>
      <w:proofErr w:type="spellEnd"/>
      <w:r w:rsidRPr="00F44DEF">
        <w:rPr>
          <w:rtl/>
        </w:rPr>
        <w:t xml:space="preserve"> של המשפט </w:t>
      </w:r>
      <w:proofErr w:type="spellStart"/>
      <w:r w:rsidRPr="00F44DEF">
        <w:rPr>
          <w:rtl/>
        </w:rPr>
        <w:t>המינהלי</w:t>
      </w:r>
      <w:proofErr w:type="spellEnd"/>
      <w:r w:rsidRPr="00F44DEF">
        <w:rPr>
          <w:rtl/>
        </w:rPr>
        <w:t>, ועשויה להיות לכך השפעה על היקף הביקורת בערעור. כך בייחוד כאשר הערעור אינו מוגבל לשאלת החוקיות של החלטת בית הדין, אלא הוא נעשה ערעור מורכב, הכולל גם ב</w:t>
      </w:r>
      <w:r>
        <w:rPr>
          <w:rtl/>
        </w:rPr>
        <w:t xml:space="preserve">יקורת על החלטת הרשות </w:t>
      </w:r>
      <w:proofErr w:type="spellStart"/>
      <w:r>
        <w:rPr>
          <w:rtl/>
        </w:rPr>
        <w:t>המינהלית</w:t>
      </w:r>
      <w:proofErr w:type="spellEnd"/>
      <w:r>
        <w:rPr>
          <w:rtl/>
        </w:rPr>
        <w:t>".</w:t>
      </w:r>
    </w:p>
    <w:p w:rsidR="00AB3999" w:rsidRDefault="00AB3999" w:rsidP="00511DF3">
      <w:pPr>
        <w:pStyle w:val="Hesber"/>
        <w:rPr>
          <w:rtl/>
        </w:rPr>
      </w:pPr>
      <w:r w:rsidRPr="00511DF3">
        <w:rPr>
          <w:rFonts w:hint="eastAsia"/>
          <w:rtl/>
        </w:rPr>
        <w:t>סעיף</w:t>
      </w:r>
      <w:r w:rsidRPr="00511DF3">
        <w:rPr>
          <w:rtl/>
        </w:rPr>
        <w:t xml:space="preserve"> </w:t>
      </w:r>
      <w:r w:rsidRPr="00511DF3">
        <w:rPr>
          <w:rFonts w:hint="eastAsia"/>
          <w:rtl/>
        </w:rPr>
        <w:t>קטן</w:t>
      </w:r>
      <w:r w:rsidRPr="00511DF3">
        <w:rPr>
          <w:rtl/>
        </w:rPr>
        <w:t xml:space="preserve"> (ד)</w:t>
      </w:r>
      <w:r w:rsidRPr="006319EB">
        <w:rPr>
          <w:rFonts w:hint="cs"/>
          <w:b/>
          <w:bCs/>
          <w:rtl/>
        </w:rPr>
        <w:t xml:space="preserve"> </w:t>
      </w:r>
      <w:r w:rsidRPr="006319EB">
        <w:rPr>
          <w:rtl/>
        </w:rPr>
        <w:t>–</w:t>
      </w:r>
      <w:r w:rsidRPr="006319EB">
        <w:rPr>
          <w:rFonts w:hint="cs"/>
          <w:rtl/>
        </w:rPr>
        <w:t xml:space="preserve"> מוצע להבהיר, כי ככלל אין בהגשת ערעור כדי לעכב את תשלום </w:t>
      </w:r>
      <w:r w:rsidR="005B4A40">
        <w:rPr>
          <w:rFonts w:hint="cs"/>
          <w:rtl/>
        </w:rPr>
        <w:t>קנס ההפרה</w:t>
      </w:r>
      <w:r w:rsidRPr="006319EB">
        <w:rPr>
          <w:rFonts w:hint="cs"/>
          <w:rtl/>
        </w:rPr>
        <w:t xml:space="preserve">, וזאת בניגוד להגשת ערר </w:t>
      </w:r>
      <w:r w:rsidRPr="00283512">
        <w:rPr>
          <w:rFonts w:hint="eastAsia"/>
          <w:rtl/>
        </w:rPr>
        <w:t>לבית</w:t>
      </w:r>
      <w:r w:rsidRPr="006319EB">
        <w:rPr>
          <w:rFonts w:hint="cs"/>
          <w:rtl/>
        </w:rPr>
        <w:t xml:space="preserve"> דין לתעבורה, שם מדובר בחלופות פעולה (ראו סעיף </w:t>
      </w:r>
      <w:r w:rsidR="00117B7E">
        <w:rPr>
          <w:rFonts w:hint="cs"/>
          <w:rtl/>
        </w:rPr>
        <w:t>9</w:t>
      </w:r>
      <w:r w:rsidR="00117B7E" w:rsidRPr="006319EB">
        <w:rPr>
          <w:rFonts w:hint="cs"/>
          <w:rtl/>
        </w:rPr>
        <w:t xml:space="preserve"> </w:t>
      </w:r>
      <w:r w:rsidRPr="006319EB">
        <w:rPr>
          <w:rFonts w:hint="cs"/>
          <w:rtl/>
        </w:rPr>
        <w:t>המוצע).</w:t>
      </w:r>
    </w:p>
    <w:p w:rsidR="00117B7E" w:rsidRPr="006319EB" w:rsidRDefault="00117B7E" w:rsidP="00511DF3">
      <w:pPr>
        <w:pStyle w:val="Hesber"/>
        <w:rPr>
          <w:rtl/>
        </w:rPr>
      </w:pPr>
    </w:p>
    <w:p w:rsidR="00AB3999" w:rsidRDefault="00AB3999" w:rsidP="00511DF3">
      <w:pPr>
        <w:pStyle w:val="Hesber1st"/>
        <w:tabs>
          <w:tab w:val="clear" w:pos="680"/>
        </w:tabs>
        <w:rPr>
          <w:rtl/>
        </w:rPr>
      </w:pPr>
      <w:r>
        <w:rPr>
          <w:rFonts w:hint="cs"/>
          <w:b/>
          <w:bCs/>
          <w:rtl/>
        </w:rPr>
        <w:t xml:space="preserve">סעיף </w:t>
      </w:r>
      <w:r w:rsidR="00117B7E">
        <w:rPr>
          <w:rFonts w:hint="cs"/>
          <w:b/>
          <w:bCs/>
          <w:rtl/>
        </w:rPr>
        <w:t xml:space="preserve">27 </w:t>
      </w:r>
      <w:r w:rsidR="00903752">
        <w:rPr>
          <w:rFonts w:hint="cs"/>
          <w:b/>
          <w:bCs/>
          <w:rtl/>
        </w:rPr>
        <w:t xml:space="preserve">וסעיף 37 </w:t>
      </w:r>
      <w:r w:rsidRPr="00511DF3">
        <w:rPr>
          <w:rtl/>
        </w:rPr>
        <w:t>–</w:t>
      </w:r>
      <w:r>
        <w:rPr>
          <w:rFonts w:hint="cs"/>
          <w:b/>
          <w:bCs/>
          <w:rtl/>
        </w:rPr>
        <w:t xml:space="preserve"> </w:t>
      </w:r>
      <w:r>
        <w:rPr>
          <w:rFonts w:hint="cs"/>
          <w:rtl/>
        </w:rPr>
        <w:t xml:space="preserve">מוצע, כי ניתן יהיה להגיש בקשת רשות ערעור על פסק הדין בערעור לבית משפט מחוזי בשבתו כבית משפט </w:t>
      </w:r>
      <w:proofErr w:type="spellStart"/>
      <w:r>
        <w:rPr>
          <w:rFonts w:hint="cs"/>
          <w:rtl/>
        </w:rPr>
        <w:t>לענינים</w:t>
      </w:r>
      <w:proofErr w:type="spellEnd"/>
      <w:r>
        <w:rPr>
          <w:rFonts w:hint="cs"/>
          <w:rtl/>
        </w:rPr>
        <w:t xml:space="preserve"> </w:t>
      </w:r>
      <w:proofErr w:type="spellStart"/>
      <w:r>
        <w:rPr>
          <w:rFonts w:hint="cs"/>
          <w:rtl/>
        </w:rPr>
        <w:t>מינהליים</w:t>
      </w:r>
      <w:proofErr w:type="spellEnd"/>
      <w:r>
        <w:rPr>
          <w:rFonts w:hint="cs"/>
          <w:rtl/>
        </w:rPr>
        <w:t>, וזאת באשר מדובר בבקשת רשות ערעור על פסק דין של ערכאה שנייה (ראו לעניין זה סעיף 17 לחוק-יסוד: השפיטה</w:t>
      </w:r>
      <w:r>
        <w:rPr>
          <w:rStyle w:val="a9"/>
          <w:rtl/>
        </w:rPr>
        <w:footnoteReference w:id="37"/>
      </w:r>
      <w:r>
        <w:rPr>
          <w:rFonts w:hint="cs"/>
          <w:rtl/>
        </w:rPr>
        <w:t>).</w:t>
      </w:r>
      <w:r w:rsidR="00903752">
        <w:rPr>
          <w:rFonts w:hint="cs"/>
          <w:rtl/>
        </w:rPr>
        <w:t xml:space="preserve"> לשם כך, מוצע גם לתקן את התוספת השנייה לחוק בתי משפט </w:t>
      </w:r>
      <w:proofErr w:type="spellStart"/>
      <w:r w:rsidR="00903752">
        <w:rPr>
          <w:rFonts w:hint="cs"/>
          <w:rtl/>
        </w:rPr>
        <w:t>לענינים</w:t>
      </w:r>
      <w:proofErr w:type="spellEnd"/>
      <w:r w:rsidR="00903752">
        <w:rPr>
          <w:rFonts w:hint="cs"/>
          <w:rtl/>
        </w:rPr>
        <w:t xml:space="preserve"> </w:t>
      </w:r>
      <w:proofErr w:type="spellStart"/>
      <w:r w:rsidR="00903752">
        <w:rPr>
          <w:rFonts w:hint="cs"/>
          <w:rtl/>
        </w:rPr>
        <w:t>מינהליים</w:t>
      </w:r>
      <w:proofErr w:type="spellEnd"/>
      <w:r w:rsidR="00B15FDE">
        <w:rPr>
          <w:rFonts w:hint="cs"/>
          <w:rtl/>
        </w:rPr>
        <w:t>.</w:t>
      </w:r>
    </w:p>
    <w:p w:rsidR="00AB3999" w:rsidRDefault="00AB3999" w:rsidP="00AB3999">
      <w:pPr>
        <w:pStyle w:val="Hesber"/>
        <w:tabs>
          <w:tab w:val="left" w:pos="424"/>
        </w:tabs>
        <w:ind w:firstLine="0"/>
        <w:rPr>
          <w:rtl/>
        </w:rPr>
      </w:pPr>
    </w:p>
    <w:p w:rsidR="00AB3999" w:rsidRPr="00EC040B" w:rsidRDefault="00AB3999" w:rsidP="00AB3999">
      <w:pPr>
        <w:pStyle w:val="TableBlock"/>
        <w:rPr>
          <w:b/>
          <w:bCs/>
          <w:rtl/>
        </w:rPr>
      </w:pPr>
      <w:r w:rsidRPr="00EC040B">
        <w:rPr>
          <w:rFonts w:hint="cs"/>
          <w:b/>
          <w:bCs/>
          <w:rtl/>
        </w:rPr>
        <w:t xml:space="preserve">פרק ד': מרשם התעבורה </w:t>
      </w:r>
      <w:proofErr w:type="spellStart"/>
      <w:r w:rsidRPr="00EC040B">
        <w:rPr>
          <w:rFonts w:hint="cs"/>
          <w:b/>
          <w:bCs/>
          <w:rtl/>
        </w:rPr>
        <w:t>המינהלי</w:t>
      </w:r>
      <w:proofErr w:type="spellEnd"/>
    </w:p>
    <w:p w:rsidR="00AB3999" w:rsidRDefault="00AB3999" w:rsidP="00511DF3">
      <w:pPr>
        <w:pStyle w:val="Hesber1st"/>
        <w:tabs>
          <w:tab w:val="clear" w:pos="680"/>
        </w:tabs>
        <w:rPr>
          <w:rtl/>
        </w:rPr>
      </w:pPr>
      <w:r>
        <w:rPr>
          <w:rFonts w:hint="cs"/>
          <w:b/>
          <w:bCs/>
          <w:rtl/>
        </w:rPr>
        <w:t xml:space="preserve">כללי </w:t>
      </w:r>
      <w:r>
        <w:rPr>
          <w:b/>
          <w:bCs/>
          <w:rtl/>
        </w:rPr>
        <w:t>–</w:t>
      </w:r>
      <w:r>
        <w:rPr>
          <w:rFonts w:hint="cs"/>
          <w:b/>
          <w:bCs/>
          <w:rtl/>
        </w:rPr>
        <w:t xml:space="preserve"> </w:t>
      </w:r>
      <w:r>
        <w:rPr>
          <w:rFonts w:hint="cs"/>
          <w:rtl/>
        </w:rPr>
        <w:t xml:space="preserve">כיום עבירות תעבורה נכללות בגדר המרשם הפלילי שמנוהל בהתאם לחוק המרשם הפלילי, וזאת על אף </w:t>
      </w:r>
      <w:r w:rsidRPr="00E8646A">
        <w:rPr>
          <w:rFonts w:hint="cs"/>
          <w:rtl/>
        </w:rPr>
        <w:t>שככלל</w:t>
      </w:r>
      <w:r>
        <w:rPr>
          <w:rFonts w:hint="cs"/>
          <w:rtl/>
        </w:rPr>
        <w:t xml:space="preserve"> עבירות קנס אינן מהוות פרט רישום במרשם הפלילי (ראו, תקנה 1(3) לת</w:t>
      </w:r>
      <w:r w:rsidRPr="00637509">
        <w:rPr>
          <w:rtl/>
        </w:rPr>
        <w:t xml:space="preserve">קנות המרשם הפלילי ותקנת השבים (פרטי רישום שלא יירשמו או שלא יימסר מידע עליהם ועבירות שהרשעה בהן לא תפסיק את תקופות ההתיישנות או המחיקה), </w:t>
      </w:r>
      <w:r>
        <w:rPr>
          <w:rFonts w:hint="cs"/>
          <w:rtl/>
        </w:rPr>
        <w:t>ה</w:t>
      </w:r>
      <w:r w:rsidRPr="00637509">
        <w:rPr>
          <w:rtl/>
        </w:rPr>
        <w:t>תשמ"ד-198</w:t>
      </w:r>
      <w:r>
        <w:rPr>
          <w:rFonts w:hint="cs"/>
          <w:rtl/>
        </w:rPr>
        <w:t>4</w:t>
      </w:r>
      <w:r>
        <w:rPr>
          <w:rStyle w:val="a9"/>
          <w:rtl/>
        </w:rPr>
        <w:footnoteReference w:id="38"/>
      </w:r>
      <w:r>
        <w:rPr>
          <w:rFonts w:hint="cs"/>
          <w:rtl/>
        </w:rPr>
        <w:t xml:space="preserve">). בנוסף למרשם הפלילי, מנהל משרד התחבורה מרשם עבירות לפי תקנה 545 לתקנות התעבורה, התשכ"א-1961, אשר כולל </w:t>
      </w:r>
      <w:r w:rsidR="008E4817">
        <w:rPr>
          <w:rFonts w:hint="cs"/>
          <w:rtl/>
        </w:rPr>
        <w:t xml:space="preserve">הרשעות בעבירות תעבורה ופירוט </w:t>
      </w:r>
      <w:r>
        <w:rPr>
          <w:rFonts w:hint="cs"/>
          <w:rtl/>
        </w:rPr>
        <w:t xml:space="preserve">נקודות </w:t>
      </w:r>
      <w:r w:rsidR="008E4817">
        <w:rPr>
          <w:rFonts w:hint="cs"/>
          <w:rtl/>
        </w:rPr>
        <w:t xml:space="preserve">על </w:t>
      </w:r>
      <w:r>
        <w:rPr>
          <w:rFonts w:hint="cs"/>
          <w:rtl/>
        </w:rPr>
        <w:t>עבירות תעבורה</w:t>
      </w:r>
      <w:r w:rsidR="008E4817">
        <w:rPr>
          <w:rFonts w:hint="cs"/>
          <w:rtl/>
        </w:rPr>
        <w:t xml:space="preserve"> שבהן הורשע בעל רישיון נהיגה</w:t>
      </w:r>
      <w:r>
        <w:rPr>
          <w:rFonts w:hint="cs"/>
          <w:rtl/>
        </w:rPr>
        <w:t>.</w:t>
      </w:r>
    </w:p>
    <w:p w:rsidR="00E8646A" w:rsidRPr="00E8646A" w:rsidRDefault="00AB3999" w:rsidP="000A10D4">
      <w:pPr>
        <w:pStyle w:val="Hesber"/>
        <w:rPr>
          <w:rtl/>
        </w:rPr>
      </w:pPr>
      <w:r>
        <w:rPr>
          <w:rFonts w:hint="cs"/>
          <w:rtl/>
        </w:rPr>
        <w:t>בהתאם לדו"ח,</w:t>
      </w:r>
      <w:r w:rsidRPr="00EC040B">
        <w:rPr>
          <w:rtl/>
        </w:rPr>
        <w:t xml:space="preserve"> </w:t>
      </w:r>
      <w:r>
        <w:rPr>
          <w:rFonts w:hint="cs"/>
          <w:rtl/>
        </w:rPr>
        <w:t>נוכח ההצעה להפוך עבירות תעבורה מסוג "ברירת משפט" להפרות תעבורה</w:t>
      </w:r>
      <w:r w:rsidR="008E4817">
        <w:rPr>
          <w:rFonts w:hint="cs"/>
          <w:rtl/>
        </w:rPr>
        <w:t xml:space="preserve"> </w:t>
      </w:r>
      <w:proofErr w:type="spellStart"/>
      <w:r w:rsidR="008E4817">
        <w:rPr>
          <w:rFonts w:hint="cs"/>
          <w:rtl/>
        </w:rPr>
        <w:t>מינהליות</w:t>
      </w:r>
      <w:proofErr w:type="spellEnd"/>
      <w:r>
        <w:rPr>
          <w:rFonts w:hint="cs"/>
          <w:rtl/>
        </w:rPr>
        <w:t xml:space="preserve">, </w:t>
      </w:r>
      <w:r w:rsidRPr="00EC040B">
        <w:rPr>
          <w:rtl/>
        </w:rPr>
        <w:t xml:space="preserve">יהיה צורך להקים מאגר מידע חדש אודות הפרות תעבורה </w:t>
      </w:r>
      <w:proofErr w:type="spellStart"/>
      <w:r w:rsidRPr="00EC040B">
        <w:rPr>
          <w:rtl/>
        </w:rPr>
        <w:t>מינהליות</w:t>
      </w:r>
      <w:proofErr w:type="spellEnd"/>
      <w:r w:rsidR="008E4817">
        <w:rPr>
          <w:rFonts w:hint="cs"/>
          <w:rtl/>
        </w:rPr>
        <w:t>, אשר יהיה מנותק מהמרשם הפלילי</w:t>
      </w:r>
      <w:r w:rsidRPr="00EC040B">
        <w:rPr>
          <w:rtl/>
        </w:rPr>
        <w:t>.</w:t>
      </w:r>
      <w:r w:rsidR="00E8646A">
        <w:rPr>
          <w:rFonts w:hint="cs"/>
          <w:rtl/>
        </w:rPr>
        <w:t xml:space="preserve"> כמפורט לעיל, החוק המוצע, נועד</w:t>
      </w:r>
      <w:r w:rsidR="00E8646A" w:rsidRPr="00E8646A">
        <w:rPr>
          <w:rtl/>
        </w:rPr>
        <w:t xml:space="preserve">, בין השאר, </w:t>
      </w:r>
      <w:r w:rsidR="00E8646A">
        <w:rPr>
          <w:rFonts w:hint="cs"/>
          <w:rtl/>
        </w:rPr>
        <w:t xml:space="preserve">לשקף את מידת חומרתן של עבירות התעבורה שמוצע להעבירן להליך </w:t>
      </w:r>
      <w:proofErr w:type="spellStart"/>
      <w:r w:rsidR="00E8646A">
        <w:rPr>
          <w:rFonts w:hint="cs"/>
          <w:rtl/>
        </w:rPr>
        <w:t>המינהלי</w:t>
      </w:r>
      <w:proofErr w:type="spellEnd"/>
      <w:r w:rsidR="00E8646A">
        <w:rPr>
          <w:rFonts w:hint="cs"/>
          <w:rtl/>
        </w:rPr>
        <w:t>. משכך, ועל מנת להלום את ה</w:t>
      </w:r>
      <w:r w:rsidR="00E8646A" w:rsidRPr="00E8646A">
        <w:rPr>
          <w:rtl/>
        </w:rPr>
        <w:t xml:space="preserve">שוני </w:t>
      </w:r>
      <w:r w:rsidR="00E8646A">
        <w:rPr>
          <w:rFonts w:hint="cs"/>
          <w:rtl/>
        </w:rPr>
        <w:t>הנורמטיבי</w:t>
      </w:r>
      <w:r w:rsidR="00E8646A" w:rsidRPr="00E8646A">
        <w:rPr>
          <w:rtl/>
        </w:rPr>
        <w:t xml:space="preserve"> </w:t>
      </w:r>
      <w:r w:rsidR="00E8646A">
        <w:rPr>
          <w:rFonts w:hint="cs"/>
          <w:rtl/>
        </w:rPr>
        <w:t>המוצע בגדר חוק זה</w:t>
      </w:r>
      <w:r w:rsidR="00E8646A" w:rsidRPr="00E8646A">
        <w:rPr>
          <w:rtl/>
        </w:rPr>
        <w:t xml:space="preserve">, </w:t>
      </w:r>
      <w:r w:rsidR="00E8646A">
        <w:rPr>
          <w:rFonts w:hint="cs"/>
          <w:rtl/>
        </w:rPr>
        <w:t xml:space="preserve">לא ניתן להותיר את </w:t>
      </w:r>
      <w:r w:rsidR="00E8646A" w:rsidRPr="00E8646A">
        <w:rPr>
          <w:rtl/>
        </w:rPr>
        <w:t>הפרות תעבורה במסגרת מרשם התעבורה הקיים, שהוא כאמור מרשם פלילי שעבירות תעבורה שנכללות בו הן רישומים פלילים לכל דבר ועניין</w:t>
      </w:r>
      <w:r w:rsidR="00E8646A">
        <w:rPr>
          <w:rFonts w:hint="cs"/>
          <w:rtl/>
        </w:rPr>
        <w:t>, ויש צורך בהקמת מאגר מידע חדש ועצמאי</w:t>
      </w:r>
      <w:r w:rsidR="00E8646A" w:rsidRPr="00E8646A">
        <w:rPr>
          <w:rtl/>
        </w:rPr>
        <w:t>.</w:t>
      </w:r>
    </w:p>
    <w:p w:rsidR="00AB3999" w:rsidRDefault="00AB3999" w:rsidP="00E8646A">
      <w:pPr>
        <w:pStyle w:val="Hesber"/>
        <w:rPr>
          <w:rtl/>
        </w:rPr>
      </w:pPr>
      <w:r>
        <w:rPr>
          <w:rFonts w:hint="cs"/>
          <w:rtl/>
        </w:rPr>
        <w:t xml:space="preserve">ככלל </w:t>
      </w:r>
      <w:r>
        <w:rPr>
          <w:rtl/>
        </w:rPr>
        <w:t xml:space="preserve">הצוות </w:t>
      </w:r>
      <w:proofErr w:type="spellStart"/>
      <w:r w:rsidR="009D380B">
        <w:rPr>
          <w:rFonts w:hint="cs"/>
          <w:rtl/>
        </w:rPr>
        <w:t>הבינמשרדי</w:t>
      </w:r>
      <w:proofErr w:type="spellEnd"/>
      <w:r w:rsidR="009D380B">
        <w:rPr>
          <w:rFonts w:hint="cs"/>
          <w:rtl/>
        </w:rPr>
        <w:t xml:space="preserve"> </w:t>
      </w:r>
      <w:r>
        <w:rPr>
          <w:rFonts w:hint="cs"/>
          <w:rtl/>
        </w:rPr>
        <w:t>ה</w:t>
      </w:r>
      <w:r w:rsidRPr="00EC040B">
        <w:rPr>
          <w:rtl/>
        </w:rPr>
        <w:t xml:space="preserve">ציע לאפשר זכויות עיון במרשם </w:t>
      </w:r>
      <w:proofErr w:type="spellStart"/>
      <w:r w:rsidRPr="00EC040B">
        <w:rPr>
          <w:rtl/>
        </w:rPr>
        <w:t>המינהלי</w:t>
      </w:r>
      <w:proofErr w:type="spellEnd"/>
      <w:r w:rsidRPr="00EC040B">
        <w:rPr>
          <w:rtl/>
        </w:rPr>
        <w:t xml:space="preserve"> במקרים הבאים</w:t>
      </w:r>
      <w:r>
        <w:rPr>
          <w:rFonts w:hint="cs"/>
          <w:rtl/>
        </w:rPr>
        <w:t xml:space="preserve"> (סעיף 15 ל</w:t>
      </w:r>
      <w:r w:rsidR="009D380B">
        <w:rPr>
          <w:rFonts w:hint="cs"/>
          <w:rtl/>
        </w:rPr>
        <w:t>פרק ההמלצות ב</w:t>
      </w:r>
      <w:r>
        <w:rPr>
          <w:rFonts w:hint="cs"/>
          <w:rtl/>
        </w:rPr>
        <w:t>דו"ח)</w:t>
      </w:r>
      <w:r w:rsidRPr="00EC040B">
        <w:rPr>
          <w:rtl/>
        </w:rPr>
        <w:t xml:space="preserve">: (א) לגורם האכיפה שנותן את הדו"ח – על מנת שיברר את האם מדובר </w:t>
      </w:r>
      <w:proofErr w:type="spellStart"/>
      <w:r w:rsidRPr="00EC040B">
        <w:rPr>
          <w:rtl/>
        </w:rPr>
        <w:t>ברצידיביסט</w:t>
      </w:r>
      <w:proofErr w:type="spellEnd"/>
      <w:r w:rsidRPr="00EC040B">
        <w:rPr>
          <w:rtl/>
        </w:rPr>
        <w:t xml:space="preserve">; (ב) לדיין, רק כאשר מתעוררת טענה שנוגעת לרישום קודם (לדוגמה, כאשר אדם שקיבל כפל קנס בשל </w:t>
      </w:r>
      <w:proofErr w:type="spellStart"/>
      <w:r w:rsidRPr="00EC040B">
        <w:rPr>
          <w:rtl/>
        </w:rPr>
        <w:t>רצידיביזם</w:t>
      </w:r>
      <w:proofErr w:type="spellEnd"/>
      <w:r w:rsidRPr="00EC040B">
        <w:rPr>
          <w:rtl/>
        </w:rPr>
        <w:t xml:space="preserve"> טוען שלא היה מקום לכך); (ג) לשופט התעבורה בהליך תעבורה פלילי, לשופט התעבורה בהליך תעבורה פלילי במקרים בהם הוא רשאי על פי הדין כיום לעיין במרשם הפלילי. </w:t>
      </w:r>
      <w:r>
        <w:rPr>
          <w:rFonts w:hint="cs"/>
          <w:rtl/>
        </w:rPr>
        <w:t>בנוסף,</w:t>
      </w:r>
      <w:r w:rsidRPr="00EC040B">
        <w:rPr>
          <w:rtl/>
        </w:rPr>
        <w:t xml:space="preserve"> לגורמים שנוגעים להליך </w:t>
      </w:r>
      <w:proofErr w:type="spellStart"/>
      <w:r w:rsidRPr="00EC040B">
        <w:rPr>
          <w:rtl/>
        </w:rPr>
        <w:t>המינהלי</w:t>
      </w:r>
      <w:proofErr w:type="spellEnd"/>
      <w:r w:rsidRPr="00EC040B">
        <w:rPr>
          <w:rtl/>
        </w:rPr>
        <w:t xml:space="preserve"> בבית הדין</w:t>
      </w:r>
      <w:r>
        <w:rPr>
          <w:rFonts w:hint="cs"/>
          <w:rtl/>
        </w:rPr>
        <w:t xml:space="preserve"> לתעבורה</w:t>
      </w:r>
      <w:r w:rsidRPr="00EC040B">
        <w:rPr>
          <w:rtl/>
        </w:rPr>
        <w:t xml:space="preserve">, יהיה צורך לקבוע את זכות הגישה </w:t>
      </w:r>
      <w:r>
        <w:rPr>
          <w:rFonts w:hint="cs"/>
          <w:rtl/>
        </w:rPr>
        <w:t xml:space="preserve">למרשם התעבורה </w:t>
      </w:r>
      <w:proofErr w:type="spellStart"/>
      <w:r>
        <w:rPr>
          <w:rFonts w:hint="cs"/>
          <w:rtl/>
        </w:rPr>
        <w:t>המינהלי</w:t>
      </w:r>
      <w:proofErr w:type="spellEnd"/>
      <w:r w:rsidRPr="00EC040B">
        <w:rPr>
          <w:rtl/>
        </w:rPr>
        <w:t xml:space="preserve"> ל</w:t>
      </w:r>
      <w:r>
        <w:rPr>
          <w:rFonts w:hint="cs"/>
          <w:rtl/>
        </w:rPr>
        <w:t>גופים, אשר גם כיום עושים שימוש במידע</w:t>
      </w:r>
      <w:r w:rsidRPr="00EC040B">
        <w:rPr>
          <w:rtl/>
        </w:rPr>
        <w:t xml:space="preserve">, כגון רשות הרישוי לפי פקודת התעבורה, המפקח על התעבורה ועוד. </w:t>
      </w:r>
    </w:p>
    <w:p w:rsidR="00AB3999" w:rsidRDefault="00AB3999" w:rsidP="000A10D4">
      <w:pPr>
        <w:pStyle w:val="Hesber"/>
        <w:rPr>
          <w:rtl/>
        </w:rPr>
      </w:pPr>
      <w:r>
        <w:rPr>
          <w:rFonts w:hint="cs"/>
          <w:rtl/>
        </w:rPr>
        <w:t xml:space="preserve">במסגרת </w:t>
      </w:r>
      <w:r>
        <w:rPr>
          <w:rFonts w:hint="cs"/>
          <w:b/>
          <w:bCs/>
          <w:rtl/>
        </w:rPr>
        <w:t xml:space="preserve">פרק ד' </w:t>
      </w:r>
      <w:r>
        <w:rPr>
          <w:rFonts w:hint="cs"/>
          <w:rtl/>
        </w:rPr>
        <w:t xml:space="preserve">לתזכיר, מוצע לקבוע הוראות בדבר ניהול מרשם התעבורה </w:t>
      </w:r>
      <w:proofErr w:type="spellStart"/>
      <w:r>
        <w:rPr>
          <w:rFonts w:hint="cs"/>
          <w:rtl/>
        </w:rPr>
        <w:t>המינהלי</w:t>
      </w:r>
      <w:proofErr w:type="spellEnd"/>
      <w:r>
        <w:rPr>
          <w:rFonts w:hint="cs"/>
          <w:rtl/>
        </w:rPr>
        <w:t xml:space="preserve">. יודגש, כי בשים לב לאופיין של הפרות התעבורה (עובדה שבגינה הומלץ מלכתחילה על השינוי המוצע במסגרת </w:t>
      </w:r>
      <w:r w:rsidR="009D380B">
        <w:rPr>
          <w:rFonts w:hint="cs"/>
          <w:rtl/>
        </w:rPr>
        <w:t xml:space="preserve">החוק </w:t>
      </w:r>
      <w:proofErr w:type="spellStart"/>
      <w:r w:rsidR="009D380B">
        <w:rPr>
          <w:rFonts w:hint="cs"/>
          <w:rtl/>
        </w:rPr>
        <w:t>המוצע</w:t>
      </w:r>
      <w:r>
        <w:rPr>
          <w:rFonts w:hint="cs"/>
          <w:rtl/>
        </w:rPr>
        <w:t>זו</w:t>
      </w:r>
      <w:proofErr w:type="spellEnd"/>
      <w:r>
        <w:rPr>
          <w:rFonts w:hint="cs"/>
          <w:rtl/>
        </w:rPr>
        <w:t xml:space="preserve">) </w:t>
      </w:r>
      <w:r w:rsidRPr="00E8646A">
        <w:rPr>
          <w:rFonts w:hint="cs"/>
          <w:rtl/>
        </w:rPr>
        <w:t>ולעובדה</w:t>
      </w:r>
      <w:r>
        <w:rPr>
          <w:rFonts w:hint="cs"/>
          <w:rtl/>
        </w:rPr>
        <w:t xml:space="preserve"> שמדובר במעבר מההליך הפלילי להליך </w:t>
      </w:r>
      <w:proofErr w:type="spellStart"/>
      <w:r>
        <w:rPr>
          <w:rFonts w:hint="cs"/>
          <w:rtl/>
        </w:rPr>
        <w:t>המינהלי</w:t>
      </w:r>
      <w:proofErr w:type="spellEnd"/>
      <w:r>
        <w:rPr>
          <w:rFonts w:hint="cs"/>
          <w:rtl/>
        </w:rPr>
        <w:t xml:space="preserve"> </w:t>
      </w:r>
      <w:r>
        <w:rPr>
          <w:rtl/>
        </w:rPr>
        <w:t>–</w:t>
      </w:r>
      <w:r>
        <w:rPr>
          <w:rFonts w:hint="cs"/>
          <w:rtl/>
        </w:rPr>
        <w:t xml:space="preserve"> נמצא כי אין הצדקה להחיל את ההסדר הקבוע בחוק המרשם הפלילי במלוא </w:t>
      </w:r>
      <w:r w:rsidR="009D380B">
        <w:rPr>
          <w:rFonts w:hint="cs"/>
          <w:rtl/>
        </w:rPr>
        <w:t xml:space="preserve">על </w:t>
      </w:r>
      <w:r>
        <w:rPr>
          <w:rFonts w:hint="cs"/>
          <w:rtl/>
        </w:rPr>
        <w:t xml:space="preserve">כל </w:t>
      </w:r>
      <w:proofErr w:type="spellStart"/>
      <w:r>
        <w:rPr>
          <w:rFonts w:hint="cs"/>
          <w:rtl/>
        </w:rPr>
        <w:t>ההגנות</w:t>
      </w:r>
      <w:proofErr w:type="spellEnd"/>
      <w:r>
        <w:rPr>
          <w:rFonts w:hint="cs"/>
          <w:rtl/>
        </w:rPr>
        <w:t xml:space="preserve"> שחלות במסגרתו. </w:t>
      </w:r>
    </w:p>
    <w:p w:rsidR="00117B7E" w:rsidRDefault="00117B7E" w:rsidP="00E8646A">
      <w:pPr>
        <w:pStyle w:val="Hesber"/>
        <w:rPr>
          <w:rtl/>
        </w:rPr>
      </w:pPr>
    </w:p>
    <w:p w:rsidR="00AB3999" w:rsidRDefault="00AB3999" w:rsidP="00511DF3">
      <w:pPr>
        <w:pStyle w:val="Hesber1st"/>
        <w:tabs>
          <w:tab w:val="clear" w:pos="680"/>
        </w:tabs>
        <w:rPr>
          <w:rtl/>
        </w:rPr>
      </w:pPr>
      <w:r>
        <w:rPr>
          <w:rFonts w:hint="cs"/>
          <w:b/>
          <w:bCs/>
          <w:rtl/>
        </w:rPr>
        <w:t xml:space="preserve">סעיף </w:t>
      </w:r>
      <w:r w:rsidR="009D380B">
        <w:rPr>
          <w:rFonts w:hint="cs"/>
          <w:b/>
          <w:bCs/>
          <w:rtl/>
        </w:rPr>
        <w:t xml:space="preserve">28 </w:t>
      </w:r>
      <w:r w:rsidRPr="00511DF3">
        <w:rPr>
          <w:rtl/>
        </w:rPr>
        <w:t>–</w:t>
      </w:r>
      <w:r>
        <w:rPr>
          <w:rFonts w:hint="cs"/>
          <w:b/>
          <w:bCs/>
          <w:rtl/>
        </w:rPr>
        <w:t xml:space="preserve"> </w:t>
      </w:r>
      <w:r>
        <w:rPr>
          <w:rFonts w:hint="cs"/>
          <w:rtl/>
        </w:rPr>
        <w:t xml:space="preserve">מוצע לקבוע, כי משטרת ישראל תנהל את מרשם התעבורה </w:t>
      </w:r>
      <w:proofErr w:type="spellStart"/>
      <w:r>
        <w:rPr>
          <w:rFonts w:hint="cs"/>
          <w:rtl/>
        </w:rPr>
        <w:t>המינהלי</w:t>
      </w:r>
      <w:proofErr w:type="spellEnd"/>
      <w:r>
        <w:rPr>
          <w:rFonts w:hint="cs"/>
          <w:rtl/>
        </w:rPr>
        <w:t xml:space="preserve">, וזאת כמי שמנהלת גם כיום את המרשם הפלילי, שכולל גם עבירות תעבורה. </w:t>
      </w:r>
      <w:r w:rsidR="009D380B">
        <w:rPr>
          <w:rFonts w:hint="cs"/>
          <w:rtl/>
        </w:rPr>
        <w:t xml:space="preserve">נוכח העובדה שניתן להסמיך גורמי אכיפה נוספים, כדוגמת עובדי רשויות מקומיות, מוצע לקבוע, כי פרטי הרישום </w:t>
      </w:r>
      <w:r w:rsidR="009D380B" w:rsidRPr="00F33D3C">
        <w:rPr>
          <w:rtl/>
        </w:rPr>
        <w:t xml:space="preserve">יימסרו למשטרה על ידי גוף </w:t>
      </w:r>
      <w:r w:rsidR="009D380B">
        <w:rPr>
          <w:rFonts w:hint="cs"/>
          <w:rtl/>
        </w:rPr>
        <w:t xml:space="preserve">המוסמך להטיל קנס </w:t>
      </w:r>
      <w:proofErr w:type="spellStart"/>
      <w:r w:rsidR="009D380B">
        <w:rPr>
          <w:rFonts w:hint="cs"/>
          <w:rtl/>
        </w:rPr>
        <w:t>מינהלי</w:t>
      </w:r>
      <w:proofErr w:type="spellEnd"/>
      <w:r w:rsidR="009D380B">
        <w:rPr>
          <w:rFonts w:hint="cs"/>
          <w:rtl/>
        </w:rPr>
        <w:t xml:space="preserve"> או לנהל הליך משפטי לפי חוק זה</w:t>
      </w:r>
      <w:r w:rsidR="009D380B" w:rsidRPr="00F33D3C">
        <w:rPr>
          <w:rtl/>
        </w:rPr>
        <w:t xml:space="preserve">, </w:t>
      </w:r>
      <w:r w:rsidR="009D380B">
        <w:rPr>
          <w:rFonts w:hint="cs"/>
          <w:rtl/>
        </w:rPr>
        <w:t xml:space="preserve">וזאת על מנת שהפרטים הנכללים במרשם התעבורה </w:t>
      </w:r>
      <w:proofErr w:type="spellStart"/>
      <w:r w:rsidR="009D380B">
        <w:rPr>
          <w:rFonts w:hint="cs"/>
          <w:rtl/>
        </w:rPr>
        <w:t>המינהלי</w:t>
      </w:r>
      <w:proofErr w:type="spellEnd"/>
      <w:r w:rsidR="009D380B">
        <w:rPr>
          <w:rFonts w:hint="cs"/>
          <w:rtl/>
        </w:rPr>
        <w:t xml:space="preserve"> יהיו שלמים ומדויקים. הוראה דומה נקבעה גם במסגרת סעיף 2(ב) לחוק המידע הפלילי ותקנת השבים, התשע"ט-2019</w:t>
      </w:r>
      <w:r w:rsidR="009D380B">
        <w:rPr>
          <w:rStyle w:val="a9"/>
          <w:rtl/>
        </w:rPr>
        <w:footnoteReference w:id="39"/>
      </w:r>
      <w:r w:rsidR="009D380B">
        <w:rPr>
          <w:rFonts w:hint="cs"/>
          <w:rtl/>
        </w:rPr>
        <w:t xml:space="preserve"> (להלן: </w:t>
      </w:r>
      <w:r w:rsidR="009D380B">
        <w:rPr>
          <w:rFonts w:hint="cs"/>
          <w:b/>
          <w:bCs/>
          <w:rtl/>
        </w:rPr>
        <w:t>"חוק המידע הפלילי"</w:t>
      </w:r>
      <w:r w:rsidR="009D380B">
        <w:rPr>
          <w:rFonts w:hint="cs"/>
          <w:rtl/>
        </w:rPr>
        <w:t xml:space="preserve">). </w:t>
      </w:r>
      <w:r w:rsidRPr="00511DF3">
        <w:rPr>
          <w:rFonts w:hint="eastAsia"/>
          <w:rtl/>
        </w:rPr>
        <w:t>סעיף</w:t>
      </w:r>
      <w:r w:rsidRPr="00511DF3">
        <w:rPr>
          <w:rtl/>
        </w:rPr>
        <w:t xml:space="preserve"> </w:t>
      </w:r>
      <w:r w:rsidRPr="00511DF3">
        <w:rPr>
          <w:rFonts w:hint="eastAsia"/>
          <w:rtl/>
        </w:rPr>
        <w:t>קטן</w:t>
      </w:r>
      <w:r w:rsidRPr="00511DF3">
        <w:rPr>
          <w:rtl/>
        </w:rPr>
        <w:t xml:space="preserve"> (</w:t>
      </w:r>
      <w:r w:rsidR="009D380B">
        <w:rPr>
          <w:rFonts w:hint="cs"/>
          <w:rtl/>
        </w:rPr>
        <w:t>ג</w:t>
      </w:r>
      <w:r w:rsidRPr="00511DF3">
        <w:rPr>
          <w:rtl/>
        </w:rPr>
        <w:t xml:space="preserve">) </w:t>
      </w:r>
      <w:r w:rsidRPr="009D380B">
        <w:rPr>
          <w:rFonts w:hint="eastAsia"/>
          <w:rtl/>
        </w:rPr>
        <w:t>מ</w:t>
      </w:r>
      <w:r>
        <w:rPr>
          <w:rFonts w:hint="cs"/>
          <w:rtl/>
        </w:rPr>
        <w:t xml:space="preserve">ונה את הנתונים, אשר יכלול מרשם </w:t>
      </w:r>
      <w:r w:rsidRPr="009D380B">
        <w:rPr>
          <w:rFonts w:hint="eastAsia"/>
          <w:rtl/>
        </w:rPr>
        <w:t>התעבורה</w:t>
      </w:r>
      <w:r>
        <w:rPr>
          <w:rFonts w:hint="cs"/>
          <w:rtl/>
        </w:rPr>
        <w:t xml:space="preserve"> </w:t>
      </w:r>
      <w:proofErr w:type="spellStart"/>
      <w:r>
        <w:rPr>
          <w:rFonts w:hint="cs"/>
          <w:rtl/>
        </w:rPr>
        <w:t>המינהלי</w:t>
      </w:r>
      <w:proofErr w:type="spellEnd"/>
      <w:r>
        <w:rPr>
          <w:rFonts w:hint="cs"/>
          <w:rtl/>
        </w:rPr>
        <w:t xml:space="preserve">. בין השאר, מוצע כי המרשם יכלול מידע על הליך משפטי הנוגע לפרטי הרישום, וזאת על מנת לאפשר מעקב על החלטות שהתקבלו לעניין זה. </w:t>
      </w:r>
      <w:r w:rsidRPr="00511DF3">
        <w:rPr>
          <w:rFonts w:hint="eastAsia"/>
          <w:rtl/>
        </w:rPr>
        <w:t>סעיף</w:t>
      </w:r>
      <w:r w:rsidRPr="00511DF3">
        <w:rPr>
          <w:rtl/>
        </w:rPr>
        <w:t xml:space="preserve"> </w:t>
      </w:r>
      <w:r w:rsidRPr="00511DF3">
        <w:rPr>
          <w:rFonts w:hint="eastAsia"/>
          <w:rtl/>
        </w:rPr>
        <w:t>קטן</w:t>
      </w:r>
      <w:r w:rsidRPr="00511DF3">
        <w:rPr>
          <w:rtl/>
        </w:rPr>
        <w:t xml:space="preserve"> (</w:t>
      </w:r>
      <w:r w:rsidR="00A91FD4">
        <w:rPr>
          <w:rFonts w:hint="cs"/>
          <w:rtl/>
        </w:rPr>
        <w:t>ד</w:t>
      </w:r>
      <w:r w:rsidRPr="00511DF3">
        <w:rPr>
          <w:rtl/>
        </w:rPr>
        <w:t xml:space="preserve">) </w:t>
      </w:r>
      <w:r w:rsidRPr="009D380B">
        <w:rPr>
          <w:rFonts w:hint="eastAsia"/>
          <w:rtl/>
        </w:rPr>
        <w:t>מבהיר</w:t>
      </w:r>
      <w:r w:rsidRPr="009D380B">
        <w:rPr>
          <w:rtl/>
        </w:rPr>
        <w:t xml:space="preserve">, </w:t>
      </w:r>
      <w:r w:rsidRPr="009D380B">
        <w:rPr>
          <w:rFonts w:hint="eastAsia"/>
          <w:rtl/>
        </w:rPr>
        <w:t>כי</w:t>
      </w:r>
      <w:r>
        <w:rPr>
          <w:rFonts w:hint="cs"/>
          <w:rtl/>
        </w:rPr>
        <w:t xml:space="preserve"> אין בסעיף זה בכדי לגרוע מסמכות המשטרה לנהל מרשמים אחרים, ובתוך כך </w:t>
      </w:r>
      <w:r w:rsidR="00B15FDE">
        <w:rPr>
          <w:rFonts w:hint="cs"/>
          <w:rtl/>
        </w:rPr>
        <w:t xml:space="preserve">אין בכך בכדי </w:t>
      </w:r>
      <w:r>
        <w:rPr>
          <w:rFonts w:hint="cs"/>
          <w:rtl/>
        </w:rPr>
        <w:t>לגרוע מהמרשם הפלילי המנוהל על ידה.</w:t>
      </w:r>
    </w:p>
    <w:p w:rsidR="00117B7E" w:rsidRDefault="00117B7E" w:rsidP="00511DF3">
      <w:pPr>
        <w:pStyle w:val="Hesber1st"/>
        <w:tabs>
          <w:tab w:val="clear" w:pos="680"/>
        </w:tabs>
        <w:rPr>
          <w:rtl/>
        </w:rPr>
      </w:pPr>
    </w:p>
    <w:p w:rsidR="00AB3999" w:rsidRDefault="00A91FD4" w:rsidP="00511DF3">
      <w:pPr>
        <w:pStyle w:val="Hesber1st"/>
        <w:tabs>
          <w:tab w:val="clear" w:pos="680"/>
        </w:tabs>
        <w:rPr>
          <w:rtl/>
        </w:rPr>
      </w:pPr>
      <w:r>
        <w:rPr>
          <w:rFonts w:hint="cs"/>
          <w:b/>
          <w:bCs/>
          <w:rtl/>
        </w:rPr>
        <w:t>סעיף 29</w:t>
      </w:r>
      <w:r w:rsidR="00AB3999">
        <w:rPr>
          <w:rFonts w:hint="cs"/>
          <w:b/>
          <w:bCs/>
          <w:rtl/>
        </w:rPr>
        <w:t xml:space="preserve"> </w:t>
      </w:r>
      <w:r w:rsidR="00AB3999" w:rsidRPr="00511DF3">
        <w:rPr>
          <w:rtl/>
        </w:rPr>
        <w:t>–</w:t>
      </w:r>
      <w:r w:rsidR="00AB3999">
        <w:rPr>
          <w:rFonts w:hint="cs"/>
          <w:b/>
          <w:bCs/>
          <w:rtl/>
        </w:rPr>
        <w:t xml:space="preserve"> </w:t>
      </w:r>
      <w:r w:rsidR="00AB3999" w:rsidRPr="009D380B">
        <w:rPr>
          <w:rFonts w:hint="eastAsia"/>
          <w:rtl/>
        </w:rPr>
        <w:t>מוצע</w:t>
      </w:r>
      <w:r w:rsidR="00AB3999">
        <w:rPr>
          <w:rFonts w:hint="cs"/>
          <w:rtl/>
        </w:rPr>
        <w:t xml:space="preserve"> לקבוע </w:t>
      </w:r>
      <w:r w:rsidR="00AB3999" w:rsidRPr="00E8646A">
        <w:rPr>
          <w:rFonts w:hint="cs"/>
          <w:rtl/>
        </w:rPr>
        <w:t>הוראות</w:t>
      </w:r>
      <w:r w:rsidR="00AB3999">
        <w:rPr>
          <w:rFonts w:hint="cs"/>
          <w:rtl/>
        </w:rPr>
        <w:t xml:space="preserve"> בדבר חיסיון מרשם התעבורה </w:t>
      </w:r>
      <w:proofErr w:type="spellStart"/>
      <w:r w:rsidR="00AB3999">
        <w:rPr>
          <w:rFonts w:hint="cs"/>
          <w:rtl/>
        </w:rPr>
        <w:t>המינהלי</w:t>
      </w:r>
      <w:proofErr w:type="spellEnd"/>
      <w:r w:rsidR="00AB3999">
        <w:rPr>
          <w:rFonts w:hint="cs"/>
          <w:rtl/>
        </w:rPr>
        <w:t xml:space="preserve">. </w:t>
      </w:r>
      <w:r>
        <w:rPr>
          <w:rFonts w:hint="cs"/>
          <w:rtl/>
        </w:rPr>
        <w:t>הוראה דומה</w:t>
      </w:r>
      <w:r w:rsidR="00AB3999">
        <w:rPr>
          <w:rFonts w:hint="cs"/>
          <w:rtl/>
        </w:rPr>
        <w:t xml:space="preserve">, </w:t>
      </w:r>
      <w:r>
        <w:rPr>
          <w:rFonts w:hint="cs"/>
          <w:rtl/>
        </w:rPr>
        <w:t xml:space="preserve">מופיעה בדברי חקיקה אחרים אשר מקימים מאגרי מידע (ראו, למשל, </w:t>
      </w:r>
      <w:r w:rsidR="00AB3999">
        <w:rPr>
          <w:rFonts w:hint="cs"/>
          <w:rtl/>
        </w:rPr>
        <w:t xml:space="preserve">סעיפים 3 ו-23 לחוק המרשם הפלילי וכן </w:t>
      </w:r>
      <w:r>
        <w:rPr>
          <w:rFonts w:hint="cs"/>
          <w:rtl/>
        </w:rPr>
        <w:t>בסעיף 230י(ה) לחוק סדר הדין הפלי</w:t>
      </w:r>
      <w:r w:rsidR="00AB3999">
        <w:rPr>
          <w:rFonts w:hint="cs"/>
          <w:rtl/>
        </w:rPr>
        <w:t>לי</w:t>
      </w:r>
      <w:r>
        <w:rPr>
          <w:rFonts w:hint="cs"/>
          <w:rtl/>
        </w:rPr>
        <w:t>)</w:t>
      </w:r>
      <w:r w:rsidR="00AB3999">
        <w:rPr>
          <w:rFonts w:hint="cs"/>
          <w:rtl/>
        </w:rPr>
        <w:t>.</w:t>
      </w:r>
    </w:p>
    <w:p w:rsidR="008E4817" w:rsidRPr="00672A2B" w:rsidRDefault="008E4817" w:rsidP="00511DF3">
      <w:pPr>
        <w:pStyle w:val="Hesber1st"/>
        <w:tabs>
          <w:tab w:val="clear" w:pos="680"/>
        </w:tabs>
        <w:rPr>
          <w:rtl/>
        </w:rPr>
      </w:pPr>
    </w:p>
    <w:p w:rsidR="00AB3999" w:rsidRDefault="00AB3999" w:rsidP="00511DF3">
      <w:pPr>
        <w:pStyle w:val="Hesber1st"/>
        <w:tabs>
          <w:tab w:val="clear" w:pos="680"/>
        </w:tabs>
        <w:rPr>
          <w:rtl/>
        </w:rPr>
      </w:pPr>
      <w:r>
        <w:rPr>
          <w:rFonts w:hint="cs"/>
          <w:b/>
          <w:bCs/>
          <w:rtl/>
        </w:rPr>
        <w:t xml:space="preserve">סעיף </w:t>
      </w:r>
      <w:r w:rsidR="00A91FD4">
        <w:rPr>
          <w:rFonts w:hint="cs"/>
          <w:b/>
          <w:bCs/>
          <w:rtl/>
        </w:rPr>
        <w:t xml:space="preserve">30 </w:t>
      </w:r>
      <w:r w:rsidRPr="00511DF3">
        <w:rPr>
          <w:rtl/>
        </w:rPr>
        <w:t>–</w:t>
      </w:r>
      <w:r>
        <w:rPr>
          <w:rFonts w:hint="cs"/>
          <w:b/>
          <w:bCs/>
          <w:rtl/>
        </w:rPr>
        <w:t xml:space="preserve"> </w:t>
      </w:r>
      <w:r w:rsidRPr="00EF5E9F">
        <w:rPr>
          <w:rFonts w:hint="cs"/>
          <w:rtl/>
        </w:rPr>
        <w:t xml:space="preserve">מוצע לקבוע הוראות בדבר מסירת מידע ממרשם התעבורה </w:t>
      </w:r>
      <w:proofErr w:type="spellStart"/>
      <w:r>
        <w:rPr>
          <w:rFonts w:hint="cs"/>
          <w:rtl/>
        </w:rPr>
        <w:t>ה</w:t>
      </w:r>
      <w:r w:rsidRPr="00EF5E9F">
        <w:rPr>
          <w:rFonts w:hint="cs"/>
          <w:rtl/>
        </w:rPr>
        <w:t>מינהלי</w:t>
      </w:r>
      <w:proofErr w:type="spellEnd"/>
      <w:r>
        <w:rPr>
          <w:rFonts w:hint="cs"/>
          <w:rtl/>
        </w:rPr>
        <w:t xml:space="preserve">. מוצע, כי משטרת ישראל תמסור מידע ממרשם התעבורה </w:t>
      </w:r>
      <w:proofErr w:type="spellStart"/>
      <w:r>
        <w:rPr>
          <w:rFonts w:hint="cs"/>
          <w:rtl/>
        </w:rPr>
        <w:t>המינהלי</w:t>
      </w:r>
      <w:proofErr w:type="spellEnd"/>
      <w:r>
        <w:rPr>
          <w:rFonts w:hint="cs"/>
          <w:rtl/>
        </w:rPr>
        <w:t xml:space="preserve"> לרשויות ולבעלי התפקידים המנויים בתוספת </w:t>
      </w:r>
      <w:r w:rsidR="00A91FD4">
        <w:rPr>
          <w:rFonts w:hint="cs"/>
          <w:rtl/>
        </w:rPr>
        <w:t>הרביעית</w:t>
      </w:r>
      <w:r>
        <w:rPr>
          <w:rFonts w:hint="cs"/>
          <w:rtl/>
        </w:rPr>
        <w:t xml:space="preserve">, וכן לקבוע </w:t>
      </w:r>
      <w:r w:rsidRPr="00A91FD4">
        <w:rPr>
          <w:rFonts w:hint="eastAsia"/>
          <w:rtl/>
        </w:rPr>
        <w:t>מנגנון</w:t>
      </w:r>
      <w:r>
        <w:rPr>
          <w:rFonts w:hint="cs"/>
          <w:rtl/>
        </w:rPr>
        <w:t xml:space="preserve"> לעדכון התוספת </w:t>
      </w:r>
      <w:r w:rsidR="00A91FD4">
        <w:rPr>
          <w:rFonts w:hint="cs"/>
          <w:rtl/>
        </w:rPr>
        <w:t>הרביעית</w:t>
      </w:r>
      <w:r>
        <w:rPr>
          <w:rFonts w:hint="cs"/>
          <w:rtl/>
        </w:rPr>
        <w:t xml:space="preserve">. </w:t>
      </w:r>
      <w:r w:rsidRPr="00E8646A">
        <w:rPr>
          <w:rFonts w:hint="cs"/>
          <w:rtl/>
        </w:rPr>
        <w:t>מסירת</w:t>
      </w:r>
      <w:r>
        <w:rPr>
          <w:rFonts w:hint="cs"/>
          <w:rtl/>
        </w:rPr>
        <w:t xml:space="preserve"> המידע תעשה בהתאם לכללים שיקבע שר המשפטים. התוספת </w:t>
      </w:r>
      <w:r w:rsidR="00A91FD4">
        <w:rPr>
          <w:rFonts w:hint="cs"/>
          <w:rtl/>
        </w:rPr>
        <w:t xml:space="preserve">הרביעית </w:t>
      </w:r>
      <w:r>
        <w:rPr>
          <w:rFonts w:hint="cs"/>
          <w:rtl/>
        </w:rPr>
        <w:t xml:space="preserve">כוללת את משרד התחבורה ואת רשות הרישוי, וזאת </w:t>
      </w:r>
      <w:r w:rsidR="00A91FD4">
        <w:rPr>
          <w:rFonts w:hint="cs"/>
          <w:rtl/>
        </w:rPr>
        <w:t xml:space="preserve">בדומה </w:t>
      </w:r>
      <w:r>
        <w:rPr>
          <w:rFonts w:hint="cs"/>
          <w:rtl/>
        </w:rPr>
        <w:t>להוראות סעיפים 6 ו-10 לחוק המרשם הפלילי, אשר קובעים את זכאותם כיום לקבלת מידע מהמרשם הפלילי (שכולל כאמור גם מידע בדבר עבירות תעבורה מסוג "ברירת משפט") וכן את הגורמים המעורבים בהליך המשפטי, וזאת הן לצורך דיון בהליכים המשפטיים שמתנהלים לעניין הפרות תעבורה והן באשר מידע זה עשוי להיות רלוונטי בדיונים משפטיים הנוגעים לעבירות תעבורה פליליות שביצע אותו אדם.</w:t>
      </w:r>
    </w:p>
    <w:p w:rsidR="00A91FD4" w:rsidRDefault="00A91FD4" w:rsidP="00511DF3">
      <w:pPr>
        <w:pStyle w:val="Hesber1st"/>
        <w:tabs>
          <w:tab w:val="clear" w:pos="680"/>
        </w:tabs>
        <w:rPr>
          <w:rtl/>
        </w:rPr>
      </w:pPr>
    </w:p>
    <w:p w:rsidR="00AB3999" w:rsidRDefault="00AB3999" w:rsidP="00511DF3">
      <w:pPr>
        <w:pStyle w:val="Hesber1st"/>
        <w:tabs>
          <w:tab w:val="clear" w:pos="680"/>
        </w:tabs>
        <w:rPr>
          <w:rtl/>
        </w:rPr>
      </w:pPr>
      <w:r>
        <w:rPr>
          <w:rFonts w:hint="cs"/>
          <w:b/>
          <w:bCs/>
          <w:rtl/>
        </w:rPr>
        <w:t xml:space="preserve">סעיף </w:t>
      </w:r>
      <w:r w:rsidR="00A91FD4">
        <w:rPr>
          <w:rFonts w:hint="cs"/>
          <w:b/>
          <w:bCs/>
          <w:rtl/>
        </w:rPr>
        <w:t xml:space="preserve">31 </w:t>
      </w:r>
      <w:r>
        <w:rPr>
          <w:rtl/>
        </w:rPr>
        <w:t>–</w:t>
      </w:r>
      <w:r>
        <w:rPr>
          <w:rFonts w:hint="cs"/>
          <w:rtl/>
        </w:rPr>
        <w:t xml:space="preserve"> </w:t>
      </w:r>
      <w:r w:rsidRPr="00A91FD4">
        <w:rPr>
          <w:rFonts w:hint="eastAsia"/>
          <w:rtl/>
        </w:rPr>
        <w:t>מוצע</w:t>
      </w:r>
      <w:r>
        <w:rPr>
          <w:rFonts w:hint="cs"/>
          <w:rtl/>
        </w:rPr>
        <w:t xml:space="preserve"> לעגן את זכותו של אדם לעיין במידע הנוגע אליו מתוך מרשם התעבורה </w:t>
      </w:r>
      <w:proofErr w:type="spellStart"/>
      <w:r>
        <w:rPr>
          <w:rFonts w:hint="cs"/>
          <w:rtl/>
        </w:rPr>
        <w:t>המינהלי</w:t>
      </w:r>
      <w:proofErr w:type="spellEnd"/>
      <w:r>
        <w:rPr>
          <w:rFonts w:hint="cs"/>
          <w:rtl/>
        </w:rPr>
        <w:t>. יצוין, כי הוראה זו נדרשת, בין השאר, באשר הוראה דומה אשר קבועה בסעיף 13(א) לחוק הגנת הפרטיות, התשמ"א-1981</w:t>
      </w:r>
      <w:r>
        <w:rPr>
          <w:rStyle w:val="a9"/>
          <w:rtl/>
        </w:rPr>
        <w:footnoteReference w:id="40"/>
      </w:r>
      <w:r>
        <w:rPr>
          <w:rFonts w:hint="cs"/>
          <w:rtl/>
        </w:rPr>
        <w:t xml:space="preserve"> אינה חלה על מאגר מידע של רשות ביטחון (הגדרה אשר כוללת את משטרת ישראל).</w:t>
      </w:r>
    </w:p>
    <w:p w:rsidR="00A91FD4" w:rsidRDefault="00A91FD4" w:rsidP="00511DF3">
      <w:pPr>
        <w:pStyle w:val="Hesber1st"/>
        <w:tabs>
          <w:tab w:val="clear" w:pos="680"/>
        </w:tabs>
        <w:rPr>
          <w:rtl/>
        </w:rPr>
      </w:pPr>
    </w:p>
    <w:p w:rsidR="00AB3999" w:rsidRDefault="00AB3999" w:rsidP="00B15FDE">
      <w:pPr>
        <w:pStyle w:val="Hesber1st"/>
        <w:tabs>
          <w:tab w:val="clear" w:pos="680"/>
        </w:tabs>
        <w:rPr>
          <w:rtl/>
        </w:rPr>
      </w:pPr>
      <w:r w:rsidRPr="00FD4505">
        <w:rPr>
          <w:rFonts w:hint="cs"/>
          <w:b/>
          <w:bCs/>
          <w:rtl/>
        </w:rPr>
        <w:t xml:space="preserve">סעיף </w:t>
      </w:r>
      <w:r w:rsidR="00A91FD4">
        <w:rPr>
          <w:rFonts w:hint="cs"/>
          <w:b/>
          <w:bCs/>
          <w:rtl/>
        </w:rPr>
        <w:t>32</w:t>
      </w:r>
      <w:r w:rsidR="00A91FD4" w:rsidRPr="00FD4505">
        <w:rPr>
          <w:rFonts w:hint="cs"/>
          <w:rtl/>
        </w:rPr>
        <w:t xml:space="preserve"> </w:t>
      </w:r>
      <w:r w:rsidRPr="00FD4505">
        <w:rPr>
          <w:rtl/>
        </w:rPr>
        <w:t>–</w:t>
      </w:r>
      <w:r w:rsidRPr="00FD4505">
        <w:rPr>
          <w:rFonts w:hint="cs"/>
          <w:rtl/>
        </w:rPr>
        <w:t xml:space="preserve"> </w:t>
      </w:r>
      <w:r>
        <w:rPr>
          <w:rFonts w:hint="cs"/>
          <w:rtl/>
        </w:rPr>
        <w:t xml:space="preserve">מוצע לקבוע הוראות בדבר </w:t>
      </w:r>
      <w:r w:rsidR="00A91FD4">
        <w:rPr>
          <w:rFonts w:hint="cs"/>
          <w:rtl/>
        </w:rPr>
        <w:t xml:space="preserve">מחיקת </w:t>
      </w:r>
      <w:r>
        <w:rPr>
          <w:rFonts w:hint="cs"/>
          <w:rtl/>
        </w:rPr>
        <w:t>פרטי המרשם.</w:t>
      </w:r>
      <w:r w:rsidR="00A91FD4">
        <w:rPr>
          <w:rFonts w:hint="cs"/>
          <w:rtl/>
        </w:rPr>
        <w:t xml:space="preserve"> במסגרת </w:t>
      </w:r>
      <w:r w:rsidR="00A91FD4" w:rsidRPr="005F4F87">
        <w:rPr>
          <w:rFonts w:hint="cs"/>
          <w:rtl/>
        </w:rPr>
        <w:t xml:space="preserve">תקופות </w:t>
      </w:r>
      <w:r w:rsidR="00B15FDE">
        <w:rPr>
          <w:rFonts w:hint="cs"/>
          <w:rtl/>
        </w:rPr>
        <w:t>המחיקה</w:t>
      </w:r>
      <w:r w:rsidR="00A91FD4" w:rsidRPr="005F4F87">
        <w:rPr>
          <w:rFonts w:hint="cs"/>
          <w:rtl/>
        </w:rPr>
        <w:t xml:space="preserve"> </w:t>
      </w:r>
      <w:r w:rsidR="00A91FD4">
        <w:rPr>
          <w:rFonts w:hint="cs"/>
          <w:rtl/>
        </w:rPr>
        <w:t>ה</w:t>
      </w:r>
      <w:r w:rsidR="00A91FD4" w:rsidRPr="005F4F87">
        <w:rPr>
          <w:rFonts w:hint="cs"/>
          <w:rtl/>
        </w:rPr>
        <w:t xml:space="preserve">מוצעות, </w:t>
      </w:r>
      <w:r w:rsidR="00A91FD4">
        <w:rPr>
          <w:rFonts w:hint="cs"/>
          <w:rtl/>
        </w:rPr>
        <w:t>מוצע להבחין</w:t>
      </w:r>
      <w:r w:rsidR="00A91FD4" w:rsidRPr="005F4F87">
        <w:rPr>
          <w:rFonts w:hint="cs"/>
          <w:rtl/>
        </w:rPr>
        <w:t xml:space="preserve"> בין בגירים לקטינים. תקופות אלו מבוססות על התקופות הפורטות בחוק המידע הפלילי. עם זאת, על אף שבחוק המידע הפלילי יש הבחנה בין תקופת</w:t>
      </w:r>
      <w:r w:rsidR="00A91FD4">
        <w:rPr>
          <w:rFonts w:hint="cs"/>
          <w:rtl/>
        </w:rPr>
        <w:t xml:space="preserve"> ההתיישנות לבין תקופת המחיקה, במסגרת חוק זה מוצע להתייחס לתקופה אחת, אשר תכלול למעשה את שני פרקי הזמן. עוד מוצע, כי התקופות ימנו </w:t>
      </w:r>
      <w:r w:rsidRPr="00A91FD4">
        <w:rPr>
          <w:rFonts w:hint="eastAsia"/>
          <w:rtl/>
        </w:rPr>
        <w:t>מיום</w:t>
      </w:r>
      <w:r w:rsidRPr="00A91FD4">
        <w:rPr>
          <w:rtl/>
        </w:rPr>
        <w:t xml:space="preserve"> </w:t>
      </w:r>
      <w:r w:rsidR="00A91FD4">
        <w:rPr>
          <w:rFonts w:hint="cs"/>
          <w:rtl/>
        </w:rPr>
        <w:t>ההמצאה</w:t>
      </w:r>
      <w:r w:rsidRPr="00A91FD4">
        <w:rPr>
          <w:rtl/>
        </w:rPr>
        <w:t xml:space="preserve">, גם אם הוגש </w:t>
      </w:r>
      <w:r w:rsidR="00A91FD4">
        <w:rPr>
          <w:rFonts w:hint="cs"/>
          <w:rtl/>
        </w:rPr>
        <w:t>ערר</w:t>
      </w:r>
      <w:r w:rsidR="00A91FD4" w:rsidRPr="00A91FD4">
        <w:rPr>
          <w:rtl/>
        </w:rPr>
        <w:t xml:space="preserve"> </w:t>
      </w:r>
      <w:r w:rsidRPr="00A91FD4">
        <w:rPr>
          <w:rFonts w:hint="eastAsia"/>
          <w:rtl/>
        </w:rPr>
        <w:t>על</w:t>
      </w:r>
      <w:r w:rsidRPr="00A91FD4">
        <w:rPr>
          <w:rtl/>
        </w:rPr>
        <w:t xml:space="preserve"> </w:t>
      </w:r>
      <w:r w:rsidRPr="00A91FD4">
        <w:rPr>
          <w:rFonts w:hint="eastAsia"/>
          <w:rtl/>
        </w:rPr>
        <w:t>החלטה</w:t>
      </w:r>
      <w:r w:rsidRPr="00A91FD4">
        <w:rPr>
          <w:rtl/>
        </w:rPr>
        <w:t xml:space="preserve"> </w:t>
      </w:r>
      <w:r w:rsidRPr="00A91FD4">
        <w:rPr>
          <w:rFonts w:hint="eastAsia"/>
          <w:rtl/>
        </w:rPr>
        <w:t>זו</w:t>
      </w:r>
      <w:r w:rsidRPr="00A91FD4">
        <w:rPr>
          <w:rtl/>
        </w:rPr>
        <w:t>.</w:t>
      </w:r>
      <w:r w:rsidR="00A91FD4">
        <w:rPr>
          <w:rFonts w:hint="cs"/>
          <w:rtl/>
        </w:rPr>
        <w:t xml:space="preserve"> בנוסף, </w:t>
      </w:r>
      <w:r w:rsidRPr="00A91FD4">
        <w:rPr>
          <w:rFonts w:hint="eastAsia"/>
          <w:rtl/>
        </w:rPr>
        <w:t>בדומה</w:t>
      </w:r>
      <w:r w:rsidRPr="00A91FD4">
        <w:rPr>
          <w:rtl/>
        </w:rPr>
        <w:t xml:space="preserve"> לסעיף 14(ג) לחוק המרשם הפלילי, מוצע כי פרט רישום לא </w:t>
      </w:r>
      <w:r w:rsidR="00A91FD4">
        <w:rPr>
          <w:rFonts w:hint="cs"/>
          <w:rtl/>
        </w:rPr>
        <w:t>ימחק</w:t>
      </w:r>
      <w:r w:rsidR="00A91FD4" w:rsidRPr="00A91FD4">
        <w:rPr>
          <w:rtl/>
        </w:rPr>
        <w:t xml:space="preserve"> </w:t>
      </w:r>
      <w:r w:rsidRPr="00A91FD4">
        <w:rPr>
          <w:rFonts w:hint="eastAsia"/>
          <w:rtl/>
        </w:rPr>
        <w:t>עד</w:t>
      </w:r>
      <w:r w:rsidRPr="00A91FD4">
        <w:rPr>
          <w:rtl/>
        </w:rPr>
        <w:t xml:space="preserve"> שישולם מלוא הקנס </w:t>
      </w:r>
      <w:proofErr w:type="spellStart"/>
      <w:r w:rsidRPr="00A91FD4">
        <w:rPr>
          <w:rFonts w:hint="eastAsia"/>
          <w:rtl/>
        </w:rPr>
        <w:t>המינהלי</w:t>
      </w:r>
      <w:proofErr w:type="spellEnd"/>
      <w:r w:rsidRPr="00A91FD4">
        <w:rPr>
          <w:rtl/>
        </w:rPr>
        <w:t>.</w:t>
      </w:r>
      <w:r w:rsidR="00A91FD4">
        <w:rPr>
          <w:rFonts w:hint="cs"/>
          <w:rtl/>
        </w:rPr>
        <w:t xml:space="preserve"> לבסוף, במסגרת </w:t>
      </w:r>
      <w:r w:rsidRPr="00511DF3">
        <w:rPr>
          <w:rFonts w:hint="eastAsia"/>
          <w:rtl/>
        </w:rPr>
        <w:t>סעיף</w:t>
      </w:r>
      <w:r w:rsidRPr="00511DF3">
        <w:rPr>
          <w:rtl/>
        </w:rPr>
        <w:t xml:space="preserve"> </w:t>
      </w:r>
      <w:r w:rsidRPr="00511DF3">
        <w:rPr>
          <w:rFonts w:hint="eastAsia"/>
          <w:rtl/>
        </w:rPr>
        <w:t>קטן</w:t>
      </w:r>
      <w:r w:rsidRPr="00511DF3">
        <w:rPr>
          <w:rtl/>
        </w:rPr>
        <w:t xml:space="preserve"> (ג)</w:t>
      </w:r>
      <w:r w:rsidRPr="00A91FD4">
        <w:rPr>
          <w:rtl/>
        </w:rPr>
        <w:t xml:space="preserve">, </w:t>
      </w:r>
      <w:r w:rsidR="00F31343">
        <w:rPr>
          <w:rFonts w:hint="cs"/>
          <w:rtl/>
        </w:rPr>
        <w:t>מוצע לקבוע את נפקות מחיקת פרט רישום</w:t>
      </w:r>
      <w:r w:rsidRPr="00A91FD4">
        <w:rPr>
          <w:rtl/>
        </w:rPr>
        <w:t>.</w:t>
      </w:r>
    </w:p>
    <w:p w:rsidR="00F31343" w:rsidRPr="00A91FD4" w:rsidRDefault="00F31343" w:rsidP="00511DF3">
      <w:pPr>
        <w:pStyle w:val="Hesber1st"/>
        <w:tabs>
          <w:tab w:val="clear" w:pos="680"/>
        </w:tabs>
        <w:rPr>
          <w:rtl/>
        </w:rPr>
      </w:pPr>
    </w:p>
    <w:p w:rsidR="00AB3999" w:rsidRDefault="00AB3999" w:rsidP="00511DF3">
      <w:pPr>
        <w:pStyle w:val="Hesber1st"/>
        <w:tabs>
          <w:tab w:val="clear" w:pos="680"/>
        </w:tabs>
        <w:rPr>
          <w:rtl/>
        </w:rPr>
      </w:pPr>
      <w:r>
        <w:rPr>
          <w:rFonts w:hint="cs"/>
          <w:b/>
          <w:bCs/>
          <w:rtl/>
        </w:rPr>
        <w:t xml:space="preserve">סעיף </w:t>
      </w:r>
      <w:r w:rsidR="00F31343">
        <w:rPr>
          <w:rFonts w:hint="cs"/>
          <w:b/>
          <w:bCs/>
          <w:rtl/>
        </w:rPr>
        <w:t xml:space="preserve">33 </w:t>
      </w:r>
      <w:r>
        <w:rPr>
          <w:b/>
          <w:bCs/>
          <w:rtl/>
        </w:rPr>
        <w:t>–</w:t>
      </w:r>
      <w:r>
        <w:rPr>
          <w:rFonts w:hint="cs"/>
          <w:b/>
          <w:bCs/>
          <w:rtl/>
        </w:rPr>
        <w:t xml:space="preserve"> </w:t>
      </w:r>
      <w:r>
        <w:rPr>
          <w:rFonts w:hint="cs"/>
          <w:rtl/>
        </w:rPr>
        <w:t xml:space="preserve">מוצע להבהיר, כי הוראות פרק זה אינן גורעות מהוראות חוק המרשם הפלילי או מכל מרשם אחר שהוקם בחיקוק (כדוגמת </w:t>
      </w:r>
      <w:r w:rsidR="00F31343">
        <w:rPr>
          <w:rFonts w:hint="cs"/>
          <w:rtl/>
        </w:rPr>
        <w:t xml:space="preserve">מרשם העבירות </w:t>
      </w:r>
      <w:r>
        <w:rPr>
          <w:rFonts w:hint="cs"/>
          <w:rtl/>
        </w:rPr>
        <w:t>שמנהל משרד התחבורה.</w:t>
      </w:r>
    </w:p>
    <w:p w:rsidR="00AB3999" w:rsidRDefault="00AB3999" w:rsidP="00AB3999">
      <w:pPr>
        <w:pStyle w:val="Hesber"/>
        <w:tabs>
          <w:tab w:val="left" w:pos="424"/>
        </w:tabs>
        <w:ind w:firstLine="0"/>
        <w:rPr>
          <w:rtl/>
        </w:rPr>
      </w:pPr>
    </w:p>
    <w:p w:rsidR="00AB3999" w:rsidRDefault="00AB3999" w:rsidP="00AB3999">
      <w:pPr>
        <w:pStyle w:val="Hesber"/>
        <w:tabs>
          <w:tab w:val="left" w:pos="424"/>
        </w:tabs>
        <w:ind w:firstLine="0"/>
        <w:rPr>
          <w:b/>
          <w:bCs/>
          <w:rtl/>
        </w:rPr>
      </w:pPr>
      <w:r>
        <w:rPr>
          <w:rFonts w:hint="cs"/>
          <w:b/>
          <w:bCs/>
          <w:rtl/>
        </w:rPr>
        <w:t>פרק ה': הוראות נוספות</w:t>
      </w:r>
    </w:p>
    <w:p w:rsidR="00635803" w:rsidRDefault="00AB3999" w:rsidP="00511DF3">
      <w:pPr>
        <w:pStyle w:val="Hesber1st"/>
        <w:tabs>
          <w:tab w:val="clear" w:pos="680"/>
        </w:tabs>
        <w:rPr>
          <w:rtl/>
        </w:rPr>
      </w:pPr>
      <w:r>
        <w:rPr>
          <w:rFonts w:hint="cs"/>
          <w:b/>
          <w:bCs/>
          <w:rtl/>
        </w:rPr>
        <w:t xml:space="preserve">סעיף </w:t>
      </w:r>
      <w:r w:rsidR="00F31343">
        <w:rPr>
          <w:rFonts w:hint="cs"/>
          <w:b/>
          <w:bCs/>
          <w:rtl/>
        </w:rPr>
        <w:t>34</w:t>
      </w:r>
      <w:r w:rsidR="00F31343">
        <w:rPr>
          <w:rFonts w:hint="cs"/>
          <w:rtl/>
        </w:rPr>
        <w:t xml:space="preserve"> </w:t>
      </w:r>
      <w:r>
        <w:rPr>
          <w:rtl/>
        </w:rPr>
        <w:t>–</w:t>
      </w:r>
      <w:r>
        <w:rPr>
          <w:rFonts w:hint="cs"/>
          <w:rtl/>
        </w:rPr>
        <w:t xml:space="preserve"> </w:t>
      </w:r>
      <w:r w:rsidR="00635803">
        <w:rPr>
          <w:rFonts w:hint="cs"/>
          <w:rtl/>
        </w:rPr>
        <w:t xml:space="preserve">הסעיף המוצע </w:t>
      </w:r>
      <w:r w:rsidR="00F31343">
        <w:rPr>
          <w:rFonts w:hint="cs"/>
          <w:rtl/>
        </w:rPr>
        <w:t xml:space="preserve">מבוסס על </w:t>
      </w:r>
      <w:r>
        <w:rPr>
          <w:rFonts w:hint="cs"/>
          <w:rtl/>
        </w:rPr>
        <w:t xml:space="preserve">סעיף 225א לחוק סדר הדין הפלילי, אשר קובע הוראות </w:t>
      </w:r>
      <w:r w:rsidRPr="000A10D4">
        <w:rPr>
          <w:rFonts w:hint="eastAsia"/>
          <w:rtl/>
        </w:rPr>
        <w:t>התיישנות</w:t>
      </w:r>
      <w:r>
        <w:rPr>
          <w:rFonts w:hint="cs"/>
          <w:rtl/>
        </w:rPr>
        <w:t xml:space="preserve"> ייחודיות בדבר עבירות קנס, תוך התייחסות פרטיקולרית לעבירת תעבורה שהחשד לביצועה מבוסס על צילום.</w:t>
      </w:r>
      <w:r w:rsidR="00F31343">
        <w:rPr>
          <w:rFonts w:hint="cs"/>
          <w:rtl/>
        </w:rPr>
        <w:t xml:space="preserve"> במסגרת הסעיף, מוצע ל</w:t>
      </w:r>
      <w:r w:rsidR="00635803">
        <w:rPr>
          <w:rFonts w:hint="cs"/>
          <w:rtl/>
        </w:rPr>
        <w:t xml:space="preserve">שמר את ההבחנה הקבועה </w:t>
      </w:r>
      <w:r w:rsidR="00F31343">
        <w:rPr>
          <w:rFonts w:hint="cs"/>
          <w:rtl/>
        </w:rPr>
        <w:t>בין הפרת תעבורה לב</w:t>
      </w:r>
      <w:r w:rsidR="00635803">
        <w:rPr>
          <w:rFonts w:hint="cs"/>
          <w:rtl/>
        </w:rPr>
        <w:t>ין הפרת תעבורה שמבוססת על צילום. זאת,</w:t>
      </w:r>
      <w:r w:rsidR="00635803" w:rsidRPr="000A10D4">
        <w:rPr>
          <w:rtl/>
        </w:rPr>
        <w:t xml:space="preserve"> </w:t>
      </w:r>
      <w:r w:rsidR="00635803">
        <w:rPr>
          <w:rFonts w:hint="cs"/>
          <w:rtl/>
        </w:rPr>
        <w:t>באשר</w:t>
      </w:r>
      <w:r w:rsidR="00635803" w:rsidRPr="000A10D4">
        <w:rPr>
          <w:rtl/>
        </w:rPr>
        <w:t xml:space="preserve"> </w:t>
      </w:r>
      <w:r w:rsidR="00635803">
        <w:rPr>
          <w:rFonts w:hint="cs"/>
          <w:rtl/>
        </w:rPr>
        <w:t xml:space="preserve">ככל שמדובר בהפרת תעבורה מצולמת, המצאת </w:t>
      </w:r>
      <w:r w:rsidR="00635803" w:rsidRPr="000A10D4">
        <w:rPr>
          <w:rFonts w:hint="eastAsia"/>
          <w:rtl/>
        </w:rPr>
        <w:t>הודעת</w:t>
      </w:r>
      <w:r w:rsidR="00635803" w:rsidRPr="00D63DF5">
        <w:rPr>
          <w:rtl/>
        </w:rPr>
        <w:t xml:space="preserve"> תשלום קנס </w:t>
      </w:r>
      <w:proofErr w:type="spellStart"/>
      <w:r w:rsidR="00635803" w:rsidRPr="00D63DF5">
        <w:rPr>
          <w:rFonts w:hint="eastAsia"/>
          <w:rtl/>
        </w:rPr>
        <w:t>מינהלי</w:t>
      </w:r>
      <w:proofErr w:type="spellEnd"/>
      <w:r w:rsidR="00635803" w:rsidRPr="00D63DF5">
        <w:rPr>
          <w:rtl/>
        </w:rPr>
        <w:t xml:space="preserve"> בפער זמן גדול מביצוע המעשה </w:t>
      </w:r>
      <w:r w:rsidR="00635803">
        <w:rPr>
          <w:rFonts w:hint="cs"/>
          <w:rtl/>
        </w:rPr>
        <w:t>תפגע בהרתעה ותקשה על</w:t>
      </w:r>
      <w:r w:rsidR="00635803" w:rsidRPr="000A10D4">
        <w:rPr>
          <w:rtl/>
        </w:rPr>
        <w:t xml:space="preserve"> האפשרות לשחזר מי נהג ברכב.</w:t>
      </w:r>
      <w:r w:rsidR="00635803">
        <w:rPr>
          <w:rFonts w:hint="cs"/>
          <w:rtl/>
        </w:rPr>
        <w:t xml:space="preserve"> </w:t>
      </w:r>
      <w:r w:rsidR="00635803" w:rsidRPr="000A10D4">
        <w:rPr>
          <w:rFonts w:hint="eastAsia"/>
          <w:rtl/>
        </w:rPr>
        <w:t>בהקשר</w:t>
      </w:r>
      <w:r w:rsidR="00635803" w:rsidRPr="00D63DF5">
        <w:rPr>
          <w:rtl/>
        </w:rPr>
        <w:t xml:space="preserve"> זה יצוין, כי אחת התכליות שעמדו בבסיס המלצות הצוות </w:t>
      </w:r>
      <w:proofErr w:type="spellStart"/>
      <w:r w:rsidR="00635803" w:rsidRPr="00D63DF5">
        <w:rPr>
          <w:rFonts w:hint="eastAsia"/>
          <w:rtl/>
        </w:rPr>
        <w:t>הבינמשרדי</w:t>
      </w:r>
      <w:proofErr w:type="spellEnd"/>
      <w:r w:rsidR="00635803" w:rsidRPr="00D63DF5">
        <w:rPr>
          <w:rtl/>
        </w:rPr>
        <w:t xml:space="preserve"> הייתה ליצור הליך יעיל ומהיר יותר, וזאת באשר ככל שמתרחקים מהאירוע האפקטיביות של האכיפה יורדת.</w:t>
      </w:r>
    </w:p>
    <w:p w:rsidR="00635803" w:rsidRDefault="00635803" w:rsidP="00511DF3">
      <w:pPr>
        <w:pStyle w:val="Hesber"/>
        <w:rPr>
          <w:rtl/>
        </w:rPr>
      </w:pPr>
      <w:r>
        <w:rPr>
          <w:rFonts w:hint="cs"/>
          <w:rtl/>
        </w:rPr>
        <w:t xml:space="preserve">בנוסף, מוצע לשמר את מועד </w:t>
      </w:r>
      <w:r w:rsidRPr="00511DF3">
        <w:rPr>
          <w:rFonts w:hint="eastAsia"/>
          <w:u w:val="single"/>
          <w:rtl/>
        </w:rPr>
        <w:t>שליחת</w:t>
      </w:r>
      <w:r>
        <w:rPr>
          <w:rFonts w:hint="cs"/>
          <w:rtl/>
        </w:rPr>
        <w:t xml:space="preserve"> הודעת התשלום (להבדיל מיום ההמצאה) כמועד הקוטע את תקופת ההתיישנות. </w:t>
      </w:r>
    </w:p>
    <w:p w:rsidR="00635803" w:rsidRPr="000A10D4" w:rsidRDefault="00635803" w:rsidP="00511DF3">
      <w:pPr>
        <w:pStyle w:val="Hesber"/>
      </w:pPr>
      <w:r>
        <w:rPr>
          <w:rFonts w:hint="cs"/>
          <w:rtl/>
        </w:rPr>
        <w:t>לבסוף, נמצא כי אין צורך בהעתקת ההסדר הקיים כיום בסעיף 225א(א1)(2) לחוק סדר הדין הפלילי בדבר רכב חדש או רכב מהסוג שקבע שר התחבורה</w:t>
      </w:r>
      <w:r w:rsidR="00187428" w:rsidRPr="00187428">
        <w:rPr>
          <w:rFonts w:hint="cs"/>
          <w:rtl/>
        </w:rPr>
        <w:t xml:space="preserve"> </w:t>
      </w:r>
      <w:r w:rsidR="00187428">
        <w:rPr>
          <w:rFonts w:hint="cs"/>
          <w:rtl/>
        </w:rPr>
        <w:t>והבטיחות בדרכים</w:t>
      </w:r>
      <w:r>
        <w:rPr>
          <w:rFonts w:hint="cs"/>
          <w:rtl/>
        </w:rPr>
        <w:t xml:space="preserve">, וזאת באשר </w:t>
      </w:r>
      <w:proofErr w:type="spellStart"/>
      <w:r>
        <w:rPr>
          <w:rFonts w:hint="cs"/>
          <w:rtl/>
        </w:rPr>
        <w:t>הרציונאל</w:t>
      </w:r>
      <w:proofErr w:type="spellEnd"/>
      <w:r>
        <w:rPr>
          <w:rFonts w:hint="cs"/>
          <w:rtl/>
        </w:rPr>
        <w:t xml:space="preserve"> שעמד מלכתחילה מאחורי </w:t>
      </w:r>
      <w:r w:rsidR="00CD089D">
        <w:rPr>
          <w:rFonts w:hint="cs"/>
          <w:rtl/>
        </w:rPr>
        <w:t xml:space="preserve">קביעת </w:t>
      </w:r>
      <w:r>
        <w:rPr>
          <w:rFonts w:hint="cs"/>
          <w:rtl/>
        </w:rPr>
        <w:t>הוראה זו אינו רלוונטי עוד.</w:t>
      </w:r>
    </w:p>
    <w:p w:rsidR="00635803" w:rsidRPr="00D63DF5" w:rsidRDefault="00635803" w:rsidP="00511DF3">
      <w:pPr>
        <w:pStyle w:val="Hesber1st"/>
        <w:tabs>
          <w:tab w:val="clear" w:pos="680"/>
        </w:tabs>
        <w:rPr>
          <w:rtl/>
        </w:rPr>
      </w:pPr>
    </w:p>
    <w:p w:rsidR="00AB3999" w:rsidRDefault="00AB3999" w:rsidP="00B15FDE">
      <w:pPr>
        <w:pStyle w:val="Hesber1st"/>
        <w:tabs>
          <w:tab w:val="clear" w:pos="680"/>
        </w:tabs>
        <w:rPr>
          <w:rtl/>
        </w:rPr>
      </w:pPr>
      <w:r w:rsidRPr="00BC1D86">
        <w:rPr>
          <w:rFonts w:hint="cs"/>
          <w:b/>
          <w:bCs/>
          <w:rtl/>
        </w:rPr>
        <w:t xml:space="preserve">סעיף </w:t>
      </w:r>
      <w:r w:rsidR="00CD089D">
        <w:rPr>
          <w:rFonts w:hint="cs"/>
          <w:b/>
          <w:bCs/>
          <w:rtl/>
        </w:rPr>
        <w:t>35</w:t>
      </w:r>
      <w:r w:rsidR="00CD089D">
        <w:rPr>
          <w:rFonts w:hint="cs"/>
          <w:rtl/>
        </w:rPr>
        <w:t xml:space="preserve"> </w:t>
      </w:r>
      <w:r>
        <w:rPr>
          <w:rtl/>
        </w:rPr>
        <w:t>–</w:t>
      </w:r>
      <w:r>
        <w:rPr>
          <w:rFonts w:hint="cs"/>
          <w:rtl/>
        </w:rPr>
        <w:t xml:space="preserve"> </w:t>
      </w:r>
      <w:r w:rsidRPr="00B82214">
        <w:rPr>
          <w:rtl/>
        </w:rPr>
        <w:t xml:space="preserve">שר המשפטים ממונה על ביצוע חוק זה והוא רשאי להתקין תקנות בכל הנוגע לביצועו. </w:t>
      </w:r>
      <w:r>
        <w:rPr>
          <w:rFonts w:hint="cs"/>
          <w:rtl/>
        </w:rPr>
        <w:t xml:space="preserve">בתוך כך, </w:t>
      </w:r>
      <w:r w:rsidRPr="00CD089D">
        <w:rPr>
          <w:rFonts w:hint="eastAsia"/>
          <w:rtl/>
        </w:rPr>
        <w:t>מוצע</w:t>
      </w:r>
      <w:r>
        <w:rPr>
          <w:rFonts w:hint="cs"/>
          <w:rtl/>
        </w:rPr>
        <w:t xml:space="preserve"> לקבוע </w:t>
      </w:r>
      <w:r w:rsidRPr="00F31343">
        <w:rPr>
          <w:rFonts w:hint="eastAsia"/>
          <w:rtl/>
        </w:rPr>
        <w:t>הסמכה</w:t>
      </w:r>
      <w:r>
        <w:rPr>
          <w:rFonts w:hint="cs"/>
          <w:rtl/>
        </w:rPr>
        <w:t xml:space="preserve"> לקביעת אגרות בעד הגשת הליכים בפני בית דין לתעבורה. בהתאם להמלצת הצוות, כי הגשת בקשה להישפט בבית הדין </w:t>
      </w:r>
      <w:proofErr w:type="spellStart"/>
      <w:r>
        <w:rPr>
          <w:rFonts w:hint="cs"/>
          <w:rtl/>
        </w:rPr>
        <w:t>המינהלי</w:t>
      </w:r>
      <w:proofErr w:type="spellEnd"/>
      <w:r>
        <w:rPr>
          <w:rFonts w:hint="cs"/>
          <w:rtl/>
        </w:rPr>
        <w:t xml:space="preserve"> תהיה כרוכה בתשלום אגרה בסכום נמוך, וזאת בשים לאיזון בין עלויות ניהול ההליך וניהול המערכת והרצון למנוע הליכי סרק, לבין הבטחת זכות הגישה לערכאות ומניעת מצב בו זו תהפוך ללא אפקטיבית (סעיף 3 ל</w:t>
      </w:r>
      <w:r w:rsidR="00CD089D">
        <w:rPr>
          <w:rFonts w:hint="cs"/>
          <w:rtl/>
        </w:rPr>
        <w:t>פרק ההמלצות ב</w:t>
      </w:r>
      <w:r>
        <w:rPr>
          <w:rFonts w:hint="cs"/>
          <w:rtl/>
        </w:rPr>
        <w:t>דו"ח).</w:t>
      </w:r>
    </w:p>
    <w:p w:rsidR="00F31343" w:rsidRDefault="00F31343" w:rsidP="00511DF3">
      <w:pPr>
        <w:pStyle w:val="Hesber1st"/>
        <w:tabs>
          <w:tab w:val="clear" w:pos="680"/>
        </w:tabs>
        <w:rPr>
          <w:b/>
          <w:bCs/>
          <w:rtl/>
        </w:rPr>
      </w:pPr>
    </w:p>
    <w:p w:rsidR="007C401D" w:rsidRDefault="00AB3999" w:rsidP="00511DF3">
      <w:pPr>
        <w:pStyle w:val="Hesber1st"/>
        <w:tabs>
          <w:tab w:val="clear" w:pos="680"/>
        </w:tabs>
        <w:rPr>
          <w:b/>
          <w:bCs/>
          <w:rtl/>
        </w:rPr>
      </w:pPr>
      <w:r w:rsidRPr="00D8638E">
        <w:rPr>
          <w:rFonts w:hint="cs"/>
          <w:b/>
          <w:bCs/>
          <w:rtl/>
        </w:rPr>
        <w:t xml:space="preserve">סעיפים </w:t>
      </w:r>
      <w:r w:rsidR="007C401D">
        <w:rPr>
          <w:rFonts w:hint="cs"/>
          <w:b/>
          <w:bCs/>
          <w:rtl/>
        </w:rPr>
        <w:t>41-36</w:t>
      </w:r>
      <w:r w:rsidRPr="005A6326">
        <w:rPr>
          <w:rFonts w:hint="cs"/>
          <w:rtl/>
        </w:rPr>
        <w:t xml:space="preserve"> </w:t>
      </w:r>
      <w:r w:rsidRPr="005A6326">
        <w:rPr>
          <w:rtl/>
        </w:rPr>
        <w:t>–</w:t>
      </w:r>
      <w:r w:rsidRPr="005A6326">
        <w:rPr>
          <w:rFonts w:hint="cs"/>
          <w:rtl/>
        </w:rPr>
        <w:t xml:space="preserve"> </w:t>
      </w:r>
      <w:r>
        <w:rPr>
          <w:rFonts w:hint="cs"/>
          <w:rtl/>
        </w:rPr>
        <w:t xml:space="preserve">מוצעים מספר תיקונים עקיפים, אשר נועדו להתאים את דברי החקיקה בדבר עבירות תעבורה להסדר </w:t>
      </w:r>
      <w:r w:rsidRPr="00F31343">
        <w:rPr>
          <w:rFonts w:hint="eastAsia"/>
          <w:rtl/>
        </w:rPr>
        <w:t>המוצע</w:t>
      </w:r>
      <w:r>
        <w:rPr>
          <w:rFonts w:hint="cs"/>
          <w:rtl/>
        </w:rPr>
        <w:t xml:space="preserve"> בחוק זה.</w:t>
      </w:r>
    </w:p>
    <w:p w:rsidR="008F7D99" w:rsidRDefault="007C401D" w:rsidP="000A10D4">
      <w:pPr>
        <w:pStyle w:val="Hesber"/>
        <w:rPr>
          <w:rtl/>
        </w:rPr>
      </w:pPr>
      <w:r>
        <w:rPr>
          <w:rFonts w:hint="cs"/>
          <w:rtl/>
        </w:rPr>
        <w:t xml:space="preserve">סעיף 36 </w:t>
      </w:r>
      <w:r>
        <w:rPr>
          <w:rtl/>
        </w:rPr>
        <w:t>–</w:t>
      </w:r>
      <w:r>
        <w:rPr>
          <w:rFonts w:hint="cs"/>
          <w:rtl/>
        </w:rPr>
        <w:t xml:space="preserve"> מוצע לתקן את חוק בתי דין </w:t>
      </w:r>
      <w:proofErr w:type="spellStart"/>
      <w:r>
        <w:rPr>
          <w:rFonts w:hint="cs"/>
          <w:rtl/>
        </w:rPr>
        <w:t>מינהליים</w:t>
      </w:r>
      <w:proofErr w:type="spellEnd"/>
      <w:r>
        <w:rPr>
          <w:rFonts w:hint="cs"/>
          <w:rtl/>
        </w:rPr>
        <w:t xml:space="preserve"> ובתוך כך להקים מנגנון בירור תלונות </w:t>
      </w:r>
      <w:r w:rsidRPr="00C744C7">
        <w:rPr>
          <w:rFonts w:ascii="David" w:hAnsi="David" w:hint="cs"/>
          <w:sz w:val="26"/>
          <w:rtl/>
        </w:rPr>
        <w:t xml:space="preserve">נגד </w:t>
      </w:r>
      <w:r>
        <w:rPr>
          <w:rFonts w:ascii="David" w:hAnsi="David" w:hint="cs"/>
          <w:sz w:val="26"/>
          <w:rtl/>
        </w:rPr>
        <w:t>חבר בית דין</w:t>
      </w:r>
      <w:r w:rsidRPr="00C744C7">
        <w:rPr>
          <w:rFonts w:ascii="David" w:hAnsi="David" w:hint="cs"/>
          <w:sz w:val="26"/>
          <w:rtl/>
        </w:rPr>
        <w:t xml:space="preserve"> או </w:t>
      </w:r>
      <w:r>
        <w:rPr>
          <w:rFonts w:ascii="David" w:hAnsi="David" w:hint="cs"/>
          <w:sz w:val="26"/>
          <w:rtl/>
        </w:rPr>
        <w:t xml:space="preserve">כל גורם שיפוטי ומעין-שיפוטי אחר בגופים </w:t>
      </w:r>
      <w:r w:rsidRPr="00C744C7">
        <w:rPr>
          <w:rFonts w:ascii="David" w:hAnsi="David" w:hint="cs"/>
          <w:sz w:val="26"/>
          <w:rtl/>
        </w:rPr>
        <w:t>המנויים בתוספת השנייה</w:t>
      </w:r>
      <w:r>
        <w:rPr>
          <w:rFonts w:ascii="David" w:hAnsi="David" w:hint="cs"/>
          <w:sz w:val="26"/>
          <w:rtl/>
        </w:rPr>
        <w:t xml:space="preserve">. </w:t>
      </w:r>
      <w:r w:rsidRPr="00511DF3">
        <w:rPr>
          <w:rtl/>
        </w:rPr>
        <w:t xml:space="preserve">בהיעדר מנגנון מסודר לבירור תלונות, קיים כיום קושי לברר תלונות על דיינים בבתי הדין </w:t>
      </w:r>
      <w:proofErr w:type="spellStart"/>
      <w:r w:rsidRPr="00511DF3">
        <w:rPr>
          <w:rtl/>
        </w:rPr>
        <w:t>המינהליים</w:t>
      </w:r>
      <w:proofErr w:type="spellEnd"/>
      <w:r w:rsidRPr="00511DF3">
        <w:rPr>
          <w:rtl/>
        </w:rPr>
        <w:t xml:space="preserve"> השונים וכן בגופים שיפוטיים ומעין שיפוטיים אחרים. קושי זה בא לידי ביטוי הן בכל הנוגע לגורם המוסמך לברר תלונות, באופן שיהלום את עצמאות ואי-תלות הדיינים (ראו לעניין זה סעיף 3 לחוק בתי דין </w:t>
      </w:r>
      <w:proofErr w:type="spellStart"/>
      <w:r w:rsidRPr="00511DF3">
        <w:rPr>
          <w:rtl/>
        </w:rPr>
        <w:t>מינהליים</w:t>
      </w:r>
      <w:proofErr w:type="spellEnd"/>
      <w:r w:rsidRPr="00511DF3">
        <w:rPr>
          <w:rtl/>
        </w:rPr>
        <w:t xml:space="preserve">), והן בכל הנוגע לסנקציות שיוטלו בגין תלונות שיימצאו מוצדקות. קושי זה רק צפוי להתחזק בעת הקרובה לאור המגמה הגוברת לעשות שימוש בבתי דין </w:t>
      </w:r>
      <w:proofErr w:type="spellStart"/>
      <w:r w:rsidRPr="00511DF3">
        <w:rPr>
          <w:rtl/>
        </w:rPr>
        <w:t>מינהליים</w:t>
      </w:r>
      <w:proofErr w:type="spellEnd"/>
      <w:r w:rsidRPr="00511DF3">
        <w:rPr>
          <w:rtl/>
        </w:rPr>
        <w:t>, ובפרט לאור הקמת בית הדין לתעבורה, שצפוי לדון בהיקף משמעותי של תיקים.</w:t>
      </w:r>
      <w:r w:rsidR="005A1F39">
        <w:rPr>
          <w:rFonts w:hint="cs"/>
          <w:rtl/>
        </w:rPr>
        <w:t xml:space="preserve"> </w:t>
      </w:r>
      <w:r w:rsidRPr="00511DF3">
        <w:rPr>
          <w:rtl/>
        </w:rPr>
        <w:t>משכך,</w:t>
      </w:r>
      <w:r>
        <w:rPr>
          <w:rFonts w:hint="cs"/>
          <w:rtl/>
        </w:rPr>
        <w:t xml:space="preserve"> </w:t>
      </w:r>
      <w:r w:rsidR="005A1F39">
        <w:rPr>
          <w:rFonts w:hint="cs"/>
          <w:rtl/>
        </w:rPr>
        <w:t>על מנת להבטיח את אי-תלותם של דיינים וגורמים שיפוטיים ומעין-שיפוטים אחרים ואת מרותם להוראות הדין בלבד, מוצע לקבוע כי שר המשפטים ימנה שופט, לרבות שופט שיצא לקצבה או פרש, אשר יהיה אחראי על בירור תלונות המוגשות נגד דיינים וגורמים שיפוטיים ומעין שיפוטיים אחרים.</w:t>
      </w:r>
      <w:r w:rsidR="008F7D99">
        <w:rPr>
          <w:rFonts w:hint="cs"/>
          <w:rtl/>
        </w:rPr>
        <w:t xml:space="preserve"> </w:t>
      </w:r>
      <w:r w:rsidR="008F7D99">
        <w:rPr>
          <w:rtl/>
        </w:rPr>
        <w:t xml:space="preserve">האחראי יבחן תלונות על התנהגות </w:t>
      </w:r>
      <w:r w:rsidR="008F7D99">
        <w:rPr>
          <w:rFonts w:hint="cs"/>
          <w:rtl/>
        </w:rPr>
        <w:t>דיינים וגורמים אחרים</w:t>
      </w:r>
      <w:r w:rsidR="008F7D99">
        <w:rPr>
          <w:rtl/>
        </w:rPr>
        <w:t xml:space="preserve"> במסגרת מילוי תפקידם</w:t>
      </w:r>
      <w:r w:rsidR="008F7D99">
        <w:rPr>
          <w:rFonts w:hint="cs"/>
          <w:rtl/>
        </w:rPr>
        <w:t>,</w:t>
      </w:r>
      <w:r w:rsidR="008F7D99">
        <w:rPr>
          <w:rtl/>
        </w:rPr>
        <w:t xml:space="preserve"> לרבות </w:t>
      </w:r>
      <w:r w:rsidR="008F7D99">
        <w:rPr>
          <w:rFonts w:hint="cs"/>
          <w:rtl/>
        </w:rPr>
        <w:t>לעניין דרך ניהול ההליכים על ידם</w:t>
      </w:r>
      <w:r w:rsidR="008F7D99">
        <w:t>.</w:t>
      </w:r>
      <w:r w:rsidR="008F7D99">
        <w:rPr>
          <w:rFonts w:hint="cs"/>
          <w:rtl/>
        </w:rPr>
        <w:t xml:space="preserve"> יצוין, כי מנגנון זה מחליף למעשה את הוראות סעיף 14(ב) לחוק בתי דין </w:t>
      </w:r>
      <w:proofErr w:type="spellStart"/>
      <w:r w:rsidR="008F7D99">
        <w:rPr>
          <w:rFonts w:hint="cs"/>
          <w:rtl/>
        </w:rPr>
        <w:t>מינהליים</w:t>
      </w:r>
      <w:proofErr w:type="spellEnd"/>
      <w:r w:rsidR="008F7D99">
        <w:rPr>
          <w:rFonts w:hint="cs"/>
          <w:rtl/>
        </w:rPr>
        <w:t>, אשר ממילא לא נעשה בהם שימוש כיום.</w:t>
      </w:r>
    </w:p>
    <w:p w:rsidR="007C401D" w:rsidRDefault="008F7D99" w:rsidP="00511DF3">
      <w:pPr>
        <w:pStyle w:val="Hesber"/>
        <w:rPr>
          <w:rtl/>
        </w:rPr>
      </w:pPr>
      <w:r>
        <w:rPr>
          <w:rFonts w:hint="cs"/>
          <w:rtl/>
        </w:rPr>
        <w:t>תכליותיו של מנגנון זה וההליך שמוצע שיקיים מבוססים על חוק נציב תלונות הציבור על שופטים, התשס"ב-2002.</w:t>
      </w:r>
      <w:r>
        <w:rPr>
          <w:rStyle w:val="a9"/>
          <w:rtl/>
        </w:rPr>
        <w:footnoteReference w:id="41"/>
      </w:r>
      <w:r>
        <w:rPr>
          <w:rFonts w:hint="cs"/>
          <w:rtl/>
        </w:rPr>
        <w:t xml:space="preserve"> </w:t>
      </w:r>
      <w:r w:rsidR="005A1F39">
        <w:rPr>
          <w:rFonts w:hint="cs"/>
          <w:rtl/>
        </w:rPr>
        <w:t xml:space="preserve">מנגנון </w:t>
      </w:r>
      <w:r>
        <w:rPr>
          <w:rFonts w:hint="cs"/>
          <w:rtl/>
        </w:rPr>
        <w:t>דומה</w:t>
      </w:r>
      <w:r w:rsidR="005A1F39">
        <w:rPr>
          <w:rFonts w:hint="cs"/>
          <w:rtl/>
        </w:rPr>
        <w:t xml:space="preserve"> </w:t>
      </w:r>
      <w:r>
        <w:rPr>
          <w:rFonts w:hint="cs"/>
          <w:rtl/>
        </w:rPr>
        <w:t xml:space="preserve">קיים גם במסגרת </w:t>
      </w:r>
      <w:r w:rsidR="005A1F39">
        <w:rPr>
          <w:rFonts w:hint="cs"/>
          <w:rtl/>
        </w:rPr>
        <w:t>סעיף 3ד לחוק ההוצאה לפועל, התשכ"ז-1967</w:t>
      </w:r>
      <w:r>
        <w:rPr>
          <w:rFonts w:hint="cs"/>
          <w:rtl/>
        </w:rPr>
        <w:t>, בכל הנוגע לבירור תלונות נגד רשמי הוצאה לפועל</w:t>
      </w:r>
      <w:r w:rsidR="005A1F39">
        <w:rPr>
          <w:rFonts w:hint="cs"/>
          <w:rtl/>
        </w:rPr>
        <w:t>.</w:t>
      </w:r>
      <w:r w:rsidR="007C401D" w:rsidRPr="00511DF3">
        <w:rPr>
          <w:rtl/>
        </w:rPr>
        <w:t xml:space="preserve"> </w:t>
      </w:r>
    </w:p>
    <w:p w:rsidR="008F7D99" w:rsidRDefault="008F7D99" w:rsidP="00511DF3">
      <w:pPr>
        <w:pStyle w:val="Hesber"/>
        <w:rPr>
          <w:rtl/>
        </w:rPr>
      </w:pPr>
      <w:r>
        <w:rPr>
          <w:rFonts w:hint="cs"/>
          <w:rtl/>
        </w:rPr>
        <w:t xml:space="preserve">סעיף 38 </w:t>
      </w:r>
      <w:r>
        <w:rPr>
          <w:rtl/>
        </w:rPr>
        <w:t>–</w:t>
      </w:r>
      <w:r>
        <w:rPr>
          <w:rFonts w:hint="cs"/>
          <w:rtl/>
        </w:rPr>
        <w:t xml:space="preserve"> מוצע לתקן את </w:t>
      </w:r>
      <w:r w:rsidR="00903752">
        <w:rPr>
          <w:rFonts w:hint="cs"/>
          <w:rtl/>
        </w:rPr>
        <w:t>סעיף 225 ל</w:t>
      </w:r>
      <w:r>
        <w:rPr>
          <w:rFonts w:hint="cs"/>
          <w:rtl/>
        </w:rPr>
        <w:t>חוק סדר הדין הפלילי</w:t>
      </w:r>
      <w:r w:rsidR="00903752">
        <w:rPr>
          <w:rFonts w:hint="cs"/>
          <w:rtl/>
        </w:rPr>
        <w:t xml:space="preserve">, באשר לאחר כניסתו של החוק המוצע לתוקף לא תוגשנה עוד הודעות תשלום קנס בגין עבירות תעבורה מצולמות, וכן באשר כאמור בסעיף 34, החלופה בדבר רכב חדש או רכב מסוג שקבע שר התחבורה </w:t>
      </w:r>
      <w:r w:rsidR="00187428">
        <w:rPr>
          <w:rFonts w:hint="cs"/>
          <w:rtl/>
        </w:rPr>
        <w:t xml:space="preserve">והבטיחות בדרכים </w:t>
      </w:r>
      <w:r w:rsidR="00903752">
        <w:rPr>
          <w:rFonts w:hint="cs"/>
          <w:rtl/>
        </w:rPr>
        <w:t>איננה רלוונטית עוד.</w:t>
      </w:r>
    </w:p>
    <w:p w:rsidR="00903752" w:rsidRDefault="00903752" w:rsidP="00511DF3">
      <w:pPr>
        <w:pStyle w:val="Hesber"/>
        <w:rPr>
          <w:rtl/>
        </w:rPr>
      </w:pPr>
      <w:r>
        <w:rPr>
          <w:rFonts w:hint="cs"/>
          <w:rtl/>
        </w:rPr>
        <w:t xml:space="preserve">סעיף 39 </w:t>
      </w:r>
      <w:r>
        <w:rPr>
          <w:rtl/>
        </w:rPr>
        <w:t>–</w:t>
      </w:r>
      <w:r>
        <w:rPr>
          <w:rFonts w:hint="cs"/>
          <w:rtl/>
        </w:rPr>
        <w:t xml:space="preserve"> מוצע לתקן את פקודת התעבורה באופן שיהלום את הוראות החוק המוצע. בכל הנוגע לסעיף 27א1 לפקודת התעבורה, בשים לב לכך שמוצע להסמיך גם עובדי רשות מקומית לאכוף הפרות תעבורה, מוצע לתקן סעיף זה בהתאם. התיקון המוצע לסעיף 69א לפקודת התעבורה, נועד לאפשר בהמשך תיקון תקנות התעבורה בהתאם, כך שיתייחסו גם לרישום נקודות בגין ביצוע הפרות תעבורה, וזאת בהתאם להמלצות הצוות </w:t>
      </w:r>
      <w:proofErr w:type="spellStart"/>
      <w:r>
        <w:rPr>
          <w:rFonts w:hint="cs"/>
          <w:rtl/>
        </w:rPr>
        <w:t>הבינמשרדי</w:t>
      </w:r>
      <w:proofErr w:type="spellEnd"/>
      <w:r>
        <w:rPr>
          <w:rFonts w:hint="cs"/>
          <w:rtl/>
        </w:rPr>
        <w:t>, אשר המליץ כי לא יחול שינוי במנגנון רישום הנקודות בשל הפרות תעבורה (ראו סעיף 1 לפרק מסקנות בדו"ח).</w:t>
      </w:r>
    </w:p>
    <w:p w:rsidR="00AB3999" w:rsidRPr="008F7D99" w:rsidRDefault="00AB3999" w:rsidP="00B15FDE">
      <w:pPr>
        <w:pStyle w:val="Hesber"/>
        <w:rPr>
          <w:rtl/>
        </w:rPr>
      </w:pPr>
      <w:r w:rsidRPr="00511DF3">
        <w:rPr>
          <w:rFonts w:hint="eastAsia"/>
          <w:rtl/>
        </w:rPr>
        <w:t>סעיפים</w:t>
      </w:r>
      <w:r w:rsidRPr="00511DF3">
        <w:rPr>
          <w:rtl/>
        </w:rPr>
        <w:t xml:space="preserve"> </w:t>
      </w:r>
      <w:r w:rsidR="00903752">
        <w:rPr>
          <w:rFonts w:hint="cs"/>
          <w:rtl/>
        </w:rPr>
        <w:t>40</w:t>
      </w:r>
      <w:r w:rsidR="00903752" w:rsidRPr="00511DF3">
        <w:rPr>
          <w:rtl/>
        </w:rPr>
        <w:t xml:space="preserve"> </w:t>
      </w:r>
      <w:r w:rsidRPr="00511DF3">
        <w:rPr>
          <w:rFonts w:hint="eastAsia"/>
          <w:rtl/>
        </w:rPr>
        <w:t>ו</w:t>
      </w:r>
      <w:r w:rsidRPr="00511DF3">
        <w:rPr>
          <w:rtl/>
        </w:rPr>
        <w:t>-</w:t>
      </w:r>
      <w:r w:rsidR="00903752">
        <w:rPr>
          <w:rFonts w:hint="cs"/>
          <w:rtl/>
        </w:rPr>
        <w:t>41</w:t>
      </w:r>
      <w:r w:rsidR="00903752" w:rsidRPr="00511DF3">
        <w:rPr>
          <w:rtl/>
        </w:rPr>
        <w:t xml:space="preserve"> </w:t>
      </w:r>
      <w:r w:rsidRPr="008F7D99">
        <w:rPr>
          <w:rFonts w:hint="eastAsia"/>
          <w:rtl/>
        </w:rPr>
        <w:t>תואמים</w:t>
      </w:r>
      <w:r w:rsidRPr="008F7D99">
        <w:rPr>
          <w:rtl/>
        </w:rPr>
        <w:t xml:space="preserve"> את המלצת הצוות, לקבוע כי גם הפרות תעבורה ייחשבו, לעניין רישוי מקצועות </w:t>
      </w:r>
      <w:proofErr w:type="spellStart"/>
      <w:r w:rsidRPr="008F7D99">
        <w:rPr>
          <w:rtl/>
        </w:rPr>
        <w:t>תעבורתיים</w:t>
      </w:r>
      <w:proofErr w:type="spellEnd"/>
      <w:r w:rsidRPr="008F7D99">
        <w:rPr>
          <w:rtl/>
        </w:rPr>
        <w:t xml:space="preserve">, כהרשעות תעבורה במישור הפלילי, וזאת על אף העובדה שהן נקבעו בהליך </w:t>
      </w:r>
      <w:proofErr w:type="spellStart"/>
      <w:r w:rsidRPr="008F7D99">
        <w:rPr>
          <w:rtl/>
        </w:rPr>
        <w:t>מינהלי</w:t>
      </w:r>
      <w:proofErr w:type="spellEnd"/>
      <w:r w:rsidRPr="008F7D99">
        <w:rPr>
          <w:rtl/>
        </w:rPr>
        <w:t>.</w:t>
      </w:r>
    </w:p>
    <w:p w:rsidR="00AB3999" w:rsidRDefault="00AB3999" w:rsidP="00AB3999"/>
    <w:p w:rsidR="00CD089D" w:rsidRPr="00511DF3" w:rsidRDefault="00CD089D" w:rsidP="000A10D4">
      <w:pPr>
        <w:pStyle w:val="Hesber1st"/>
        <w:tabs>
          <w:tab w:val="clear" w:pos="680"/>
        </w:tabs>
        <w:rPr>
          <w:vertAlign w:val="subscript"/>
          <w:rtl/>
        </w:rPr>
      </w:pPr>
      <w:r>
        <w:rPr>
          <w:rFonts w:hint="cs"/>
          <w:b/>
          <w:bCs/>
          <w:rtl/>
        </w:rPr>
        <w:t>סעיפים 43-42</w:t>
      </w:r>
      <w:r>
        <w:rPr>
          <w:rFonts w:hint="cs"/>
          <w:rtl/>
        </w:rPr>
        <w:t xml:space="preserve"> </w:t>
      </w:r>
      <w:r>
        <w:rPr>
          <w:rtl/>
        </w:rPr>
        <w:t>–</w:t>
      </w:r>
      <w:r>
        <w:rPr>
          <w:rFonts w:hint="cs"/>
          <w:rtl/>
        </w:rPr>
        <w:t xml:space="preserve"> נוכח ההתאמות והשינויים הנרחבים הנדרשים לשם כניסת חוק זה לתוקפו, ובכלל זה: הקמת בית דין לתעבורה, לרבות תשתית טכנולוגית; מינוי דיינים וראש בית דין לתעבורה; קביעת תקנות וסדרי דין </w:t>
      </w:r>
      <w:proofErr w:type="spellStart"/>
      <w:r>
        <w:rPr>
          <w:rFonts w:hint="cs"/>
          <w:rtl/>
        </w:rPr>
        <w:t>ומינהל</w:t>
      </w:r>
      <w:proofErr w:type="spellEnd"/>
      <w:r>
        <w:rPr>
          <w:rFonts w:hint="cs"/>
          <w:rtl/>
        </w:rPr>
        <w:t xml:space="preserve">; ועוד, מוצע לקבוע, כי חוק זה ייכנס לתוקפו שנה מיום פרסומו, וכן לאפשר דחיית מועד זה. עוד מוצע, להבהיר כי הוראות החוק המוצע לא יחולו על הודעת תשלום קנס שניתנה בהתאם לדין שהיה קיים טרם קניסת החוק המוצע לתוקפו, וכן לקבוע הוראת </w:t>
      </w:r>
      <w:r w:rsidRPr="00152C61">
        <w:rPr>
          <w:rFonts w:hint="cs"/>
          <w:rtl/>
        </w:rPr>
        <w:t>מעבר</w:t>
      </w:r>
      <w:r>
        <w:rPr>
          <w:rFonts w:hint="cs"/>
          <w:rtl/>
        </w:rPr>
        <w:t xml:space="preserve"> ייחודית בכל הנוגע להוראות בדבר נסיבות מחמירות לפי סעיף 2(ג) לחוק המוצע. לבסוף, במסגרת סעיף 43(ב) מוצע</w:t>
      </w:r>
      <w:r w:rsidR="007C401D">
        <w:rPr>
          <w:rFonts w:hint="cs"/>
          <w:rtl/>
        </w:rPr>
        <w:t xml:space="preserve"> לקבוע, כי שוטר, יהיה מוסמך להפעיל את סמכויותיו מכוח חוק זה גם נגד ישראלי שביצע הפרת תעבורה באזור, וזאת על מנת להבטיח אחידות הדינים על ישראלים בישראל ובאזור.</w:t>
      </w:r>
    </w:p>
    <w:p w:rsidR="0040598D" w:rsidRPr="00AB3999" w:rsidRDefault="0040598D"/>
    <w:sectPr w:rsidR="0040598D" w:rsidRPr="00AB3999" w:rsidSect="00347EE8">
      <w:pgSz w:w="11906" w:h="16838"/>
      <w:pgMar w:top="1701" w:right="1134" w:bottom="1417" w:left="1134"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4C4E" w:rsidRDefault="00094C4E" w:rsidP="00347EE8">
      <w:pPr>
        <w:spacing w:line="240" w:lineRule="auto"/>
      </w:pPr>
      <w:r>
        <w:separator/>
      </w:r>
    </w:p>
  </w:endnote>
  <w:endnote w:type="continuationSeparator" w:id="0">
    <w:p w:rsidR="00094C4E" w:rsidRDefault="00094C4E" w:rsidP="00347EE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David">
    <w:panose1 w:val="020E0502060401010101"/>
    <w:charset w:val="00"/>
    <w:family w:val="swiss"/>
    <w:pitch w:val="variable"/>
    <w:sig w:usb0="00000803" w:usb1="00000000" w:usb2="00000000" w:usb3="00000000" w:csb0="0000002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Mincho">
    <w:altName w:val="Yu Gothic UI"/>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4C4E" w:rsidRDefault="00094C4E" w:rsidP="00347EE8">
      <w:pPr>
        <w:spacing w:line="240" w:lineRule="auto"/>
      </w:pPr>
      <w:r>
        <w:separator/>
      </w:r>
    </w:p>
  </w:footnote>
  <w:footnote w:type="continuationSeparator" w:id="0">
    <w:p w:rsidR="00094C4E" w:rsidRDefault="00094C4E" w:rsidP="00347EE8">
      <w:pPr>
        <w:spacing w:line="240" w:lineRule="auto"/>
      </w:pPr>
      <w:r>
        <w:continuationSeparator/>
      </w:r>
    </w:p>
  </w:footnote>
  <w:footnote w:id="1">
    <w:p w:rsidR="00355703" w:rsidRPr="00F87095" w:rsidRDefault="00355703" w:rsidP="00347EE8">
      <w:pPr>
        <w:pStyle w:val="a7"/>
        <w:rPr>
          <w:rtl/>
        </w:rPr>
      </w:pPr>
      <w:r>
        <w:rPr>
          <w:rStyle w:val="a9"/>
        </w:rPr>
        <w:footnoteRef/>
      </w:r>
      <w:r>
        <w:rPr>
          <w:rtl/>
        </w:rPr>
        <w:t xml:space="preserve"> </w:t>
      </w:r>
      <w:r>
        <w:rPr>
          <w:rFonts w:hint="cs"/>
          <w:rtl/>
        </w:rPr>
        <w:t xml:space="preserve">דו"ח הצוות זמין באתר האינטרנט של משרד המשפטים </w:t>
      </w:r>
      <w:hyperlink r:id="rId1" w:history="1">
        <w:r w:rsidRPr="00D237AE">
          <w:rPr>
            <w:rStyle w:val="Hyperlink"/>
            <w:rFonts w:asciiTheme="majorBidi" w:hAnsiTheme="majorBidi" w:cstheme="majorBidi"/>
            <w:sz w:val="20"/>
          </w:rPr>
          <w:t>www.gov.il/he/departments/publications/reports/report-6720</w:t>
        </w:r>
      </w:hyperlink>
      <w:r w:rsidRPr="00D237AE">
        <w:rPr>
          <w:rFonts w:asciiTheme="majorBidi" w:hAnsiTheme="majorBidi" w:cstheme="majorBidi"/>
          <w:sz w:val="20"/>
          <w:rtl/>
        </w:rPr>
        <w:t>.</w:t>
      </w:r>
    </w:p>
  </w:footnote>
  <w:footnote w:id="2">
    <w:p w:rsidR="00355703" w:rsidRDefault="00355703" w:rsidP="00347EE8">
      <w:pPr>
        <w:pStyle w:val="a7"/>
        <w:rPr>
          <w:rtl/>
        </w:rPr>
      </w:pPr>
      <w:r>
        <w:rPr>
          <w:rStyle w:val="a9"/>
        </w:rPr>
        <w:footnoteRef/>
      </w:r>
      <w:r>
        <w:rPr>
          <w:rtl/>
        </w:rPr>
        <w:t xml:space="preserve"> </w:t>
      </w:r>
      <w:r>
        <w:rPr>
          <w:rFonts w:hint="cs"/>
          <w:rtl/>
        </w:rPr>
        <w:t xml:space="preserve">ס"ח </w:t>
      </w:r>
      <w:proofErr w:type="spellStart"/>
      <w:r>
        <w:rPr>
          <w:rFonts w:hint="cs"/>
          <w:rtl/>
        </w:rPr>
        <w:t>התשס"ב</w:t>
      </w:r>
      <w:proofErr w:type="spellEnd"/>
      <w:r>
        <w:rPr>
          <w:rFonts w:hint="cs"/>
          <w:rtl/>
        </w:rPr>
        <w:t xml:space="preserve">, עמ' 932. </w:t>
      </w:r>
    </w:p>
  </w:footnote>
  <w:footnote w:id="3">
    <w:p w:rsidR="00355703" w:rsidRDefault="00355703" w:rsidP="00347EE8">
      <w:pPr>
        <w:pStyle w:val="a7"/>
        <w:rPr>
          <w:rFonts w:ascii="David" w:hAnsi="David"/>
          <w:sz w:val="20"/>
        </w:rPr>
      </w:pPr>
      <w:r>
        <w:rPr>
          <w:rStyle w:val="a9"/>
          <w:rFonts w:ascii="David" w:hAnsi="David"/>
        </w:rPr>
        <w:footnoteRef/>
      </w:r>
      <w:r>
        <w:rPr>
          <w:rFonts w:ascii="David" w:hAnsi="David"/>
          <w:rtl/>
        </w:rPr>
        <w:t xml:space="preserve"> דו</w:t>
      </w:r>
      <w:r>
        <w:rPr>
          <w:rFonts w:ascii="David" w:hAnsi="David" w:hint="cs"/>
          <w:rtl/>
        </w:rPr>
        <w:t>"</w:t>
      </w:r>
      <w:r>
        <w:rPr>
          <w:rFonts w:ascii="David" w:hAnsi="David"/>
          <w:rtl/>
        </w:rPr>
        <w:t>ח סיכום שנה הנהלת בתי המשפט (</w:t>
      </w:r>
      <w:hyperlink r:id="rId2" w:history="1">
        <w:r>
          <w:rPr>
            <w:rStyle w:val="Hyperlink"/>
            <w:rFonts w:ascii="David" w:hAnsi="David"/>
            <w:rtl/>
          </w:rPr>
          <w:t>קישור</w:t>
        </w:r>
      </w:hyperlink>
      <w:r>
        <w:rPr>
          <w:rFonts w:ascii="David" w:hAnsi="David"/>
          <w:rtl/>
        </w:rPr>
        <w:t>).</w:t>
      </w:r>
    </w:p>
  </w:footnote>
  <w:footnote w:id="4">
    <w:p w:rsidR="00355703" w:rsidRDefault="00355703" w:rsidP="00347EE8">
      <w:pPr>
        <w:pStyle w:val="a7"/>
      </w:pPr>
      <w:r>
        <w:rPr>
          <w:rStyle w:val="a9"/>
        </w:rPr>
        <w:footnoteRef/>
      </w:r>
      <w:r>
        <w:rPr>
          <w:rtl/>
        </w:rPr>
        <w:t xml:space="preserve"> </w:t>
      </w:r>
      <w:r>
        <w:rPr>
          <w:rFonts w:hint="cs"/>
          <w:rtl/>
        </w:rPr>
        <w:t xml:space="preserve">ס"ח </w:t>
      </w:r>
      <w:proofErr w:type="spellStart"/>
      <w:r>
        <w:rPr>
          <w:rFonts w:hint="cs"/>
          <w:rtl/>
        </w:rPr>
        <w:t>התשמ"ב</w:t>
      </w:r>
      <w:proofErr w:type="spellEnd"/>
      <w:r>
        <w:rPr>
          <w:rFonts w:hint="cs"/>
          <w:rtl/>
        </w:rPr>
        <w:t xml:space="preserve">, עמ' 43; ס"ח </w:t>
      </w:r>
      <w:proofErr w:type="spellStart"/>
      <w:r>
        <w:rPr>
          <w:rFonts w:hint="cs"/>
          <w:rtl/>
        </w:rPr>
        <w:t>התשע"ט</w:t>
      </w:r>
      <w:proofErr w:type="spellEnd"/>
      <w:r>
        <w:rPr>
          <w:rFonts w:hint="cs"/>
          <w:rtl/>
        </w:rPr>
        <w:t>, עמ' 319.</w:t>
      </w:r>
    </w:p>
  </w:footnote>
  <w:footnote w:id="5">
    <w:p w:rsidR="00355703" w:rsidRPr="00FF34E5" w:rsidRDefault="00355703" w:rsidP="00347EE8">
      <w:pPr>
        <w:pStyle w:val="a7"/>
      </w:pPr>
      <w:r>
        <w:rPr>
          <w:rStyle w:val="a9"/>
        </w:rPr>
        <w:footnoteRef/>
      </w:r>
      <w:r>
        <w:rPr>
          <w:rFonts w:hint="cs"/>
          <w:rtl/>
        </w:rPr>
        <w:t xml:space="preserve"> </w:t>
      </w:r>
      <w:proofErr w:type="spellStart"/>
      <w:r>
        <w:rPr>
          <w:rtl/>
        </w:rPr>
        <w:t>דמ"י</w:t>
      </w:r>
      <w:proofErr w:type="spellEnd"/>
      <w:r>
        <w:rPr>
          <w:rtl/>
        </w:rPr>
        <w:t xml:space="preserve">, נוסח חדש 7, עמ' 173; ס"ח </w:t>
      </w:r>
      <w:proofErr w:type="spellStart"/>
      <w:r>
        <w:rPr>
          <w:rtl/>
        </w:rPr>
        <w:t>התשע"</w:t>
      </w:r>
      <w:r>
        <w:rPr>
          <w:rFonts w:hint="cs"/>
          <w:rtl/>
        </w:rPr>
        <w:t>ט</w:t>
      </w:r>
      <w:proofErr w:type="spellEnd"/>
      <w:r>
        <w:rPr>
          <w:rtl/>
        </w:rPr>
        <w:t>, עמ'</w:t>
      </w:r>
      <w:r>
        <w:rPr>
          <w:rFonts w:hint="cs"/>
          <w:rtl/>
        </w:rPr>
        <w:t xml:space="preserve"> 2296</w:t>
      </w:r>
      <w:r>
        <w:rPr>
          <w:rtl/>
        </w:rPr>
        <w:t>.</w:t>
      </w:r>
    </w:p>
  </w:footnote>
  <w:footnote w:id="6">
    <w:p w:rsidR="00355703" w:rsidRDefault="00355703" w:rsidP="00347EE8">
      <w:pPr>
        <w:pStyle w:val="a7"/>
      </w:pPr>
      <w:r>
        <w:rPr>
          <w:rStyle w:val="a9"/>
        </w:rPr>
        <w:footnoteRef/>
      </w:r>
      <w:r>
        <w:rPr>
          <w:rtl/>
        </w:rPr>
        <w:t xml:space="preserve"> </w:t>
      </w:r>
      <w:r>
        <w:rPr>
          <w:rFonts w:hint="cs"/>
          <w:rtl/>
        </w:rPr>
        <w:t xml:space="preserve">ס"ח </w:t>
      </w:r>
      <w:proofErr w:type="spellStart"/>
      <w:r>
        <w:rPr>
          <w:rFonts w:hint="cs"/>
          <w:rtl/>
        </w:rPr>
        <w:t>התשל"א</w:t>
      </w:r>
      <w:proofErr w:type="spellEnd"/>
      <w:r>
        <w:rPr>
          <w:rFonts w:hint="cs"/>
          <w:rtl/>
        </w:rPr>
        <w:t>, עמ' 134.</w:t>
      </w:r>
    </w:p>
  </w:footnote>
  <w:footnote w:id="7">
    <w:p w:rsidR="00355703" w:rsidRDefault="00355703" w:rsidP="00347EE8">
      <w:pPr>
        <w:pStyle w:val="a7"/>
      </w:pPr>
      <w:r>
        <w:rPr>
          <w:rStyle w:val="a9"/>
        </w:rPr>
        <w:footnoteRef/>
      </w:r>
      <w:r>
        <w:rPr>
          <w:rtl/>
        </w:rPr>
        <w:t xml:space="preserve"> </w:t>
      </w:r>
      <w:r>
        <w:rPr>
          <w:rFonts w:hint="cs"/>
          <w:rtl/>
        </w:rPr>
        <w:t xml:space="preserve">ס"ח </w:t>
      </w:r>
      <w:proofErr w:type="spellStart"/>
      <w:r>
        <w:rPr>
          <w:rFonts w:hint="cs"/>
          <w:rtl/>
        </w:rPr>
        <w:t>התשנ"ח</w:t>
      </w:r>
      <w:proofErr w:type="spellEnd"/>
      <w:r>
        <w:rPr>
          <w:rFonts w:hint="cs"/>
          <w:rtl/>
        </w:rPr>
        <w:t>, עמ' 152.</w:t>
      </w:r>
    </w:p>
  </w:footnote>
  <w:footnote w:id="8">
    <w:p w:rsidR="00355703" w:rsidRDefault="00355703" w:rsidP="00B00EBD">
      <w:pPr>
        <w:pStyle w:val="a7"/>
        <w:rPr>
          <w:rtl/>
        </w:rPr>
      </w:pPr>
      <w:r>
        <w:rPr>
          <w:rStyle w:val="a9"/>
        </w:rPr>
        <w:footnoteRef/>
      </w:r>
      <w:r>
        <w:rPr>
          <w:rtl/>
        </w:rPr>
        <w:t xml:space="preserve"> </w:t>
      </w:r>
      <w:r>
        <w:rPr>
          <w:rFonts w:hint="cs"/>
          <w:rtl/>
        </w:rPr>
        <w:t>ס"</w:t>
      </w:r>
      <w:r w:rsidRPr="00666780">
        <w:rPr>
          <w:rFonts w:hint="cs"/>
          <w:rtl/>
        </w:rPr>
        <w:t xml:space="preserve">ח </w:t>
      </w:r>
      <w:proofErr w:type="spellStart"/>
      <w:r w:rsidRPr="00666780">
        <w:rPr>
          <w:rFonts w:hint="cs"/>
          <w:rtl/>
        </w:rPr>
        <w:t>התשנ"ב</w:t>
      </w:r>
      <w:proofErr w:type="spellEnd"/>
      <w:r w:rsidRPr="00666780">
        <w:rPr>
          <w:rFonts w:hint="cs"/>
          <w:rtl/>
        </w:rPr>
        <w:t xml:space="preserve">, עמ' 90; ס"ח </w:t>
      </w:r>
      <w:proofErr w:type="spellStart"/>
      <w:r w:rsidRPr="00666780">
        <w:rPr>
          <w:rFonts w:hint="cs"/>
          <w:rtl/>
        </w:rPr>
        <w:t>התש"ף</w:t>
      </w:r>
      <w:proofErr w:type="spellEnd"/>
      <w:r w:rsidRPr="00666780">
        <w:rPr>
          <w:rFonts w:hint="cs"/>
          <w:rtl/>
        </w:rPr>
        <w:t>, עמ' 86</w:t>
      </w:r>
      <w:r>
        <w:rPr>
          <w:rFonts w:hint="cs"/>
          <w:rtl/>
        </w:rPr>
        <w:t xml:space="preserve">. </w:t>
      </w:r>
    </w:p>
  </w:footnote>
  <w:footnote w:id="9">
    <w:p w:rsidR="00355703" w:rsidRDefault="00355703" w:rsidP="00B00EBD">
      <w:pPr>
        <w:pStyle w:val="a7"/>
        <w:rPr>
          <w:rtl/>
        </w:rPr>
      </w:pPr>
      <w:r>
        <w:rPr>
          <w:rStyle w:val="a9"/>
        </w:rPr>
        <w:footnoteRef/>
      </w:r>
      <w:r>
        <w:rPr>
          <w:rtl/>
        </w:rPr>
        <w:t xml:space="preserve"> </w:t>
      </w:r>
      <w:r>
        <w:rPr>
          <w:rFonts w:hint="cs"/>
          <w:rtl/>
        </w:rPr>
        <w:t>ס</w:t>
      </w:r>
      <w:r w:rsidRPr="00666780">
        <w:rPr>
          <w:rFonts w:hint="cs"/>
          <w:rtl/>
        </w:rPr>
        <w:t xml:space="preserve">"ח </w:t>
      </w:r>
      <w:proofErr w:type="spellStart"/>
      <w:r w:rsidRPr="00666780">
        <w:rPr>
          <w:rFonts w:hint="cs"/>
          <w:rtl/>
        </w:rPr>
        <w:t>התש"ס</w:t>
      </w:r>
      <w:proofErr w:type="spellEnd"/>
      <w:r w:rsidRPr="00666780">
        <w:rPr>
          <w:rFonts w:hint="cs"/>
          <w:rtl/>
        </w:rPr>
        <w:t xml:space="preserve">, עמ' 190; ס"ח </w:t>
      </w:r>
      <w:proofErr w:type="spellStart"/>
      <w:r w:rsidRPr="00666780">
        <w:rPr>
          <w:rFonts w:hint="cs"/>
          <w:rtl/>
        </w:rPr>
        <w:t>התש"ף</w:t>
      </w:r>
      <w:proofErr w:type="spellEnd"/>
      <w:r w:rsidRPr="00666780">
        <w:rPr>
          <w:rFonts w:hint="cs"/>
          <w:rtl/>
        </w:rPr>
        <w:t>, עמ' 320</w:t>
      </w:r>
      <w:r>
        <w:rPr>
          <w:rFonts w:hint="cs"/>
          <w:rtl/>
        </w:rPr>
        <w:t xml:space="preserve">. </w:t>
      </w:r>
    </w:p>
  </w:footnote>
  <w:footnote w:id="10">
    <w:p w:rsidR="00355703" w:rsidRDefault="00355703" w:rsidP="006D4373">
      <w:pPr>
        <w:pStyle w:val="a7"/>
        <w:rPr>
          <w:rtl/>
        </w:rPr>
      </w:pPr>
      <w:r>
        <w:rPr>
          <w:rStyle w:val="a9"/>
        </w:rPr>
        <w:footnoteRef/>
      </w:r>
      <w:r>
        <w:rPr>
          <w:rtl/>
        </w:rPr>
        <w:t xml:space="preserve"> </w:t>
      </w:r>
      <w:r>
        <w:rPr>
          <w:rFonts w:hint="cs"/>
          <w:rtl/>
        </w:rPr>
        <w:t xml:space="preserve">ס"ח </w:t>
      </w:r>
      <w:proofErr w:type="spellStart"/>
      <w:r>
        <w:rPr>
          <w:rFonts w:hint="cs"/>
          <w:rtl/>
        </w:rPr>
        <w:t>התשנ"ח</w:t>
      </w:r>
      <w:proofErr w:type="spellEnd"/>
      <w:r>
        <w:rPr>
          <w:rFonts w:hint="cs"/>
          <w:rtl/>
        </w:rPr>
        <w:t xml:space="preserve">, עמ' 170; ס"ח </w:t>
      </w:r>
      <w:proofErr w:type="spellStart"/>
      <w:r>
        <w:rPr>
          <w:rFonts w:hint="cs"/>
          <w:rtl/>
        </w:rPr>
        <w:t>התש"ף</w:t>
      </w:r>
      <w:proofErr w:type="spellEnd"/>
      <w:r>
        <w:rPr>
          <w:rFonts w:hint="cs"/>
          <w:rtl/>
        </w:rPr>
        <w:t>, עמ' 14.</w:t>
      </w:r>
    </w:p>
  </w:footnote>
  <w:footnote w:id="11">
    <w:p w:rsidR="00355703" w:rsidRDefault="00355703" w:rsidP="00B00EBD">
      <w:pPr>
        <w:pStyle w:val="a7"/>
        <w:rPr>
          <w:rtl/>
        </w:rPr>
      </w:pPr>
      <w:r>
        <w:rPr>
          <w:rStyle w:val="a9"/>
        </w:rPr>
        <w:footnoteRef/>
      </w:r>
      <w:r>
        <w:rPr>
          <w:rtl/>
        </w:rPr>
        <w:t xml:space="preserve"> </w:t>
      </w:r>
      <w:r>
        <w:rPr>
          <w:rFonts w:hint="cs"/>
          <w:rtl/>
        </w:rPr>
        <w:t>ס</w:t>
      </w:r>
      <w:r w:rsidRPr="00666780">
        <w:rPr>
          <w:rFonts w:hint="cs"/>
          <w:rtl/>
        </w:rPr>
        <w:t xml:space="preserve">"ח </w:t>
      </w:r>
      <w:proofErr w:type="spellStart"/>
      <w:r w:rsidRPr="00666780">
        <w:rPr>
          <w:rFonts w:hint="cs"/>
          <w:rtl/>
        </w:rPr>
        <w:t>התשמ"א</w:t>
      </w:r>
      <w:proofErr w:type="spellEnd"/>
      <w:r w:rsidRPr="00666780">
        <w:rPr>
          <w:rFonts w:hint="cs"/>
          <w:rtl/>
        </w:rPr>
        <w:t>, עמ' 3</w:t>
      </w:r>
      <w:r>
        <w:rPr>
          <w:rFonts w:hint="cs"/>
          <w:rtl/>
        </w:rPr>
        <w:t>22.</w:t>
      </w:r>
    </w:p>
  </w:footnote>
  <w:footnote w:id="12">
    <w:p w:rsidR="00355703" w:rsidRDefault="00355703" w:rsidP="00485CC2">
      <w:pPr>
        <w:pStyle w:val="a7"/>
        <w:rPr>
          <w:rtl/>
        </w:rPr>
      </w:pPr>
      <w:r>
        <w:rPr>
          <w:rStyle w:val="a9"/>
        </w:rPr>
        <w:footnoteRef/>
      </w:r>
      <w:r>
        <w:rPr>
          <w:rtl/>
        </w:rPr>
        <w:t xml:space="preserve"> </w:t>
      </w:r>
      <w:r>
        <w:rPr>
          <w:rFonts w:hint="cs"/>
          <w:rtl/>
        </w:rPr>
        <w:t xml:space="preserve">ס"ח </w:t>
      </w:r>
      <w:proofErr w:type="spellStart"/>
      <w:r>
        <w:rPr>
          <w:rFonts w:hint="cs"/>
          <w:rtl/>
        </w:rPr>
        <w:t>התשע"ו</w:t>
      </w:r>
      <w:proofErr w:type="spellEnd"/>
      <w:r>
        <w:rPr>
          <w:rFonts w:hint="cs"/>
          <w:rtl/>
        </w:rPr>
        <w:t xml:space="preserve">, עמ' 1214; ס"ח </w:t>
      </w:r>
      <w:proofErr w:type="spellStart"/>
      <w:r>
        <w:rPr>
          <w:rFonts w:hint="cs"/>
          <w:rtl/>
        </w:rPr>
        <w:t>התשע"ז</w:t>
      </w:r>
      <w:proofErr w:type="spellEnd"/>
      <w:r>
        <w:rPr>
          <w:rFonts w:hint="cs"/>
          <w:rtl/>
        </w:rPr>
        <w:t>, עמ' 1017.</w:t>
      </w:r>
    </w:p>
  </w:footnote>
  <w:footnote w:id="13">
    <w:p w:rsidR="00355703" w:rsidRDefault="00355703" w:rsidP="00B00EBD">
      <w:pPr>
        <w:pStyle w:val="a7"/>
        <w:rPr>
          <w:rtl/>
        </w:rPr>
      </w:pPr>
      <w:r>
        <w:rPr>
          <w:rStyle w:val="a9"/>
        </w:rPr>
        <w:footnoteRef/>
      </w:r>
      <w:r>
        <w:rPr>
          <w:rtl/>
        </w:rPr>
        <w:t xml:space="preserve"> </w:t>
      </w:r>
      <w:r>
        <w:rPr>
          <w:rFonts w:hint="cs"/>
          <w:rtl/>
        </w:rPr>
        <w:t>ס</w:t>
      </w:r>
      <w:r w:rsidRPr="00666780">
        <w:rPr>
          <w:rFonts w:hint="cs"/>
          <w:rtl/>
        </w:rPr>
        <w:t xml:space="preserve">"ח </w:t>
      </w:r>
      <w:proofErr w:type="spellStart"/>
      <w:r w:rsidRPr="00666780">
        <w:rPr>
          <w:rFonts w:hint="cs"/>
          <w:rtl/>
        </w:rPr>
        <w:t>התשמ"ב</w:t>
      </w:r>
      <w:proofErr w:type="spellEnd"/>
      <w:r w:rsidRPr="00666780">
        <w:rPr>
          <w:rFonts w:hint="cs"/>
          <w:rtl/>
        </w:rPr>
        <w:t xml:space="preserve">, עמ' 43; ס"ח </w:t>
      </w:r>
      <w:proofErr w:type="spellStart"/>
      <w:r w:rsidRPr="00666780">
        <w:rPr>
          <w:rFonts w:hint="cs"/>
          <w:rtl/>
        </w:rPr>
        <w:t>התשע"ט</w:t>
      </w:r>
      <w:proofErr w:type="spellEnd"/>
      <w:r w:rsidRPr="00666780">
        <w:rPr>
          <w:rFonts w:hint="cs"/>
          <w:rtl/>
        </w:rPr>
        <w:t>, עמ' 319</w:t>
      </w:r>
      <w:r>
        <w:rPr>
          <w:rFonts w:hint="cs"/>
          <w:rtl/>
        </w:rPr>
        <w:t xml:space="preserve">. </w:t>
      </w:r>
    </w:p>
  </w:footnote>
  <w:footnote w:id="14">
    <w:p w:rsidR="00355703" w:rsidRDefault="00355703" w:rsidP="00B00EBD">
      <w:pPr>
        <w:pStyle w:val="a7"/>
      </w:pPr>
      <w:r>
        <w:rPr>
          <w:rStyle w:val="a9"/>
        </w:rPr>
        <w:footnoteRef/>
      </w:r>
      <w:r>
        <w:rPr>
          <w:rtl/>
        </w:rPr>
        <w:t xml:space="preserve"> </w:t>
      </w:r>
      <w:r w:rsidRPr="00666780">
        <w:rPr>
          <w:rFonts w:hint="cs"/>
          <w:rtl/>
        </w:rPr>
        <w:t xml:space="preserve">ס"ח </w:t>
      </w:r>
      <w:proofErr w:type="spellStart"/>
      <w:r w:rsidRPr="00666780">
        <w:rPr>
          <w:rFonts w:hint="cs"/>
          <w:rtl/>
        </w:rPr>
        <w:t>התשנ"ח</w:t>
      </w:r>
      <w:proofErr w:type="spellEnd"/>
      <w:r w:rsidRPr="00666780">
        <w:rPr>
          <w:rFonts w:hint="cs"/>
          <w:rtl/>
        </w:rPr>
        <w:t>, עמ' 152.</w:t>
      </w:r>
    </w:p>
  </w:footnote>
  <w:footnote w:id="15">
    <w:p w:rsidR="00355703" w:rsidRDefault="00355703" w:rsidP="00B00EBD">
      <w:pPr>
        <w:pStyle w:val="a7"/>
        <w:rPr>
          <w:rtl/>
        </w:rPr>
      </w:pPr>
      <w:r>
        <w:rPr>
          <w:rStyle w:val="a9"/>
        </w:rPr>
        <w:footnoteRef/>
      </w:r>
      <w:r>
        <w:rPr>
          <w:rtl/>
        </w:rPr>
        <w:t xml:space="preserve"> </w:t>
      </w:r>
      <w:proofErr w:type="spellStart"/>
      <w:r>
        <w:rPr>
          <w:rtl/>
        </w:rPr>
        <w:t>דמ"י</w:t>
      </w:r>
      <w:proofErr w:type="spellEnd"/>
      <w:r>
        <w:rPr>
          <w:rtl/>
        </w:rPr>
        <w:t xml:space="preserve">, נוסח חדש 7, עמ' 173; ס"ח </w:t>
      </w:r>
      <w:proofErr w:type="spellStart"/>
      <w:r>
        <w:rPr>
          <w:rtl/>
        </w:rPr>
        <w:t>התשע"</w:t>
      </w:r>
      <w:r>
        <w:rPr>
          <w:rFonts w:hint="cs"/>
          <w:rtl/>
        </w:rPr>
        <w:t>ט</w:t>
      </w:r>
      <w:proofErr w:type="spellEnd"/>
      <w:r>
        <w:rPr>
          <w:rtl/>
        </w:rPr>
        <w:t>, עמ'</w:t>
      </w:r>
      <w:r>
        <w:rPr>
          <w:rFonts w:hint="cs"/>
          <w:rtl/>
        </w:rPr>
        <w:t xml:space="preserve"> 2296.</w:t>
      </w:r>
    </w:p>
  </w:footnote>
  <w:footnote w:id="16">
    <w:p w:rsidR="00355703" w:rsidRDefault="00355703" w:rsidP="000A70C2">
      <w:pPr>
        <w:pStyle w:val="a7"/>
      </w:pPr>
      <w:r>
        <w:rPr>
          <w:rStyle w:val="a9"/>
        </w:rPr>
        <w:footnoteRef/>
      </w:r>
      <w:r>
        <w:rPr>
          <w:rtl/>
        </w:rPr>
        <w:t xml:space="preserve"> </w:t>
      </w:r>
      <w:r>
        <w:rPr>
          <w:rFonts w:hint="cs"/>
          <w:rtl/>
        </w:rPr>
        <w:t xml:space="preserve">ס"ח </w:t>
      </w:r>
      <w:proofErr w:type="spellStart"/>
      <w:r>
        <w:rPr>
          <w:rFonts w:hint="cs"/>
          <w:rtl/>
        </w:rPr>
        <w:t>התשל"א</w:t>
      </w:r>
      <w:proofErr w:type="spellEnd"/>
      <w:r>
        <w:rPr>
          <w:rFonts w:hint="cs"/>
          <w:rtl/>
        </w:rPr>
        <w:t>, עמ' 134.</w:t>
      </w:r>
    </w:p>
  </w:footnote>
  <w:footnote w:id="17">
    <w:p w:rsidR="00355703" w:rsidRDefault="00355703" w:rsidP="0014448A">
      <w:pPr>
        <w:pStyle w:val="a7"/>
        <w:rPr>
          <w:rtl/>
        </w:rPr>
      </w:pPr>
      <w:r>
        <w:rPr>
          <w:rStyle w:val="a9"/>
        </w:rPr>
        <w:footnoteRef/>
      </w:r>
      <w:r>
        <w:rPr>
          <w:rFonts w:hint="cs"/>
          <w:rtl/>
        </w:rPr>
        <w:t xml:space="preserve"> </w:t>
      </w:r>
      <w:proofErr w:type="spellStart"/>
      <w:r>
        <w:rPr>
          <w:rFonts w:hint="cs"/>
          <w:rtl/>
        </w:rPr>
        <w:t>י"פ</w:t>
      </w:r>
      <w:proofErr w:type="spellEnd"/>
      <w:r>
        <w:rPr>
          <w:rFonts w:hint="cs"/>
          <w:rtl/>
        </w:rPr>
        <w:t xml:space="preserve"> </w:t>
      </w:r>
      <w:proofErr w:type="spellStart"/>
      <w:r>
        <w:rPr>
          <w:rFonts w:hint="cs"/>
          <w:rtl/>
        </w:rPr>
        <w:t>התשע"ה</w:t>
      </w:r>
      <w:proofErr w:type="spellEnd"/>
      <w:r>
        <w:rPr>
          <w:rFonts w:hint="cs"/>
          <w:rtl/>
        </w:rPr>
        <w:t>, עמ' 7609.</w:t>
      </w:r>
    </w:p>
  </w:footnote>
  <w:footnote w:id="18">
    <w:p w:rsidR="00355703" w:rsidRDefault="00355703" w:rsidP="003918F0">
      <w:pPr>
        <w:pStyle w:val="a7"/>
      </w:pPr>
      <w:r>
        <w:rPr>
          <w:rStyle w:val="a9"/>
        </w:rPr>
        <w:footnoteRef/>
      </w:r>
      <w:r>
        <w:rPr>
          <w:rtl/>
        </w:rPr>
        <w:t xml:space="preserve"> </w:t>
      </w:r>
      <w:r>
        <w:rPr>
          <w:rFonts w:hint="cs"/>
          <w:rtl/>
        </w:rPr>
        <w:t xml:space="preserve">ס"ח </w:t>
      </w:r>
      <w:proofErr w:type="spellStart"/>
      <w:r>
        <w:rPr>
          <w:rFonts w:hint="cs"/>
          <w:rtl/>
        </w:rPr>
        <w:t>התשס"א</w:t>
      </w:r>
      <w:proofErr w:type="spellEnd"/>
      <w:r>
        <w:rPr>
          <w:rFonts w:hint="cs"/>
          <w:rtl/>
        </w:rPr>
        <w:t xml:space="preserve">, עמ' 190; ס"ח </w:t>
      </w:r>
      <w:proofErr w:type="spellStart"/>
      <w:r>
        <w:rPr>
          <w:rFonts w:hint="cs"/>
          <w:rtl/>
        </w:rPr>
        <w:t>התש"ף</w:t>
      </w:r>
      <w:proofErr w:type="spellEnd"/>
      <w:r>
        <w:rPr>
          <w:rFonts w:hint="cs"/>
          <w:rtl/>
        </w:rPr>
        <w:t>, עמ' 320.</w:t>
      </w:r>
    </w:p>
  </w:footnote>
  <w:footnote w:id="19">
    <w:p w:rsidR="00355703" w:rsidRDefault="00355703" w:rsidP="007B09A1">
      <w:pPr>
        <w:pStyle w:val="a7"/>
      </w:pPr>
      <w:r>
        <w:rPr>
          <w:rStyle w:val="a9"/>
        </w:rPr>
        <w:footnoteRef/>
      </w:r>
      <w:r>
        <w:rPr>
          <w:rtl/>
        </w:rPr>
        <w:t xml:space="preserve"> </w:t>
      </w:r>
      <w:r>
        <w:rPr>
          <w:rFonts w:hint="cs"/>
          <w:rtl/>
        </w:rPr>
        <w:t xml:space="preserve">ס"ח </w:t>
      </w:r>
      <w:proofErr w:type="spellStart"/>
      <w:r>
        <w:rPr>
          <w:rFonts w:hint="cs"/>
          <w:rtl/>
        </w:rPr>
        <w:t>התשע"ו</w:t>
      </w:r>
      <w:proofErr w:type="spellEnd"/>
      <w:r>
        <w:rPr>
          <w:rFonts w:hint="cs"/>
          <w:rtl/>
        </w:rPr>
        <w:t xml:space="preserve">, עמ' 970; ס"ח </w:t>
      </w:r>
      <w:proofErr w:type="spellStart"/>
      <w:r>
        <w:rPr>
          <w:rFonts w:hint="cs"/>
          <w:rtl/>
        </w:rPr>
        <w:t>התש"ף</w:t>
      </w:r>
      <w:proofErr w:type="spellEnd"/>
      <w:r>
        <w:rPr>
          <w:rFonts w:hint="cs"/>
          <w:rtl/>
        </w:rPr>
        <w:t>, עמ' 14.</w:t>
      </w:r>
    </w:p>
  </w:footnote>
  <w:footnote w:id="20">
    <w:p w:rsidR="00355703" w:rsidRDefault="00355703" w:rsidP="007B09A1">
      <w:pPr>
        <w:pStyle w:val="a7"/>
      </w:pPr>
      <w:r>
        <w:rPr>
          <w:rStyle w:val="a9"/>
        </w:rPr>
        <w:footnoteRef/>
      </w:r>
      <w:r>
        <w:rPr>
          <w:rtl/>
        </w:rPr>
        <w:t xml:space="preserve"> </w:t>
      </w:r>
      <w:proofErr w:type="spellStart"/>
      <w:r>
        <w:rPr>
          <w:rFonts w:hint="cs"/>
          <w:rtl/>
        </w:rPr>
        <w:t>י"פ</w:t>
      </w:r>
      <w:proofErr w:type="spellEnd"/>
      <w:r>
        <w:rPr>
          <w:rFonts w:hint="cs"/>
          <w:rtl/>
        </w:rPr>
        <w:t xml:space="preserve"> </w:t>
      </w:r>
      <w:proofErr w:type="spellStart"/>
      <w:r>
        <w:rPr>
          <w:rFonts w:hint="cs"/>
          <w:rtl/>
        </w:rPr>
        <w:t>התשנ"ד</w:t>
      </w:r>
      <w:proofErr w:type="spellEnd"/>
      <w:r>
        <w:rPr>
          <w:rFonts w:hint="cs"/>
          <w:rtl/>
        </w:rPr>
        <w:t>, עמ' 1185.</w:t>
      </w:r>
    </w:p>
  </w:footnote>
  <w:footnote w:id="21">
    <w:p w:rsidR="00355703" w:rsidRDefault="00355703" w:rsidP="007B09A1">
      <w:pPr>
        <w:pStyle w:val="a7"/>
        <w:rPr>
          <w:rtl/>
        </w:rPr>
      </w:pPr>
      <w:r>
        <w:rPr>
          <w:rStyle w:val="a9"/>
        </w:rPr>
        <w:footnoteRef/>
      </w:r>
      <w:r>
        <w:rPr>
          <w:rtl/>
        </w:rPr>
        <w:t xml:space="preserve"> </w:t>
      </w:r>
      <w:proofErr w:type="spellStart"/>
      <w:r>
        <w:rPr>
          <w:rFonts w:hint="cs"/>
          <w:rtl/>
        </w:rPr>
        <w:t>י"פ</w:t>
      </w:r>
      <w:proofErr w:type="spellEnd"/>
      <w:r>
        <w:rPr>
          <w:rFonts w:hint="cs"/>
          <w:rtl/>
        </w:rPr>
        <w:t xml:space="preserve"> </w:t>
      </w:r>
      <w:proofErr w:type="spellStart"/>
      <w:r>
        <w:rPr>
          <w:rFonts w:hint="cs"/>
          <w:rtl/>
        </w:rPr>
        <w:t>התשס"ט</w:t>
      </w:r>
      <w:proofErr w:type="spellEnd"/>
      <w:r>
        <w:rPr>
          <w:rFonts w:hint="cs"/>
          <w:rtl/>
        </w:rPr>
        <w:t>, עמ' 1111.</w:t>
      </w:r>
    </w:p>
  </w:footnote>
  <w:footnote w:id="22">
    <w:p w:rsidR="00355703" w:rsidRDefault="00355703" w:rsidP="009E0DA3">
      <w:pPr>
        <w:pStyle w:val="a7"/>
        <w:rPr>
          <w:rtl/>
        </w:rPr>
      </w:pPr>
      <w:r>
        <w:rPr>
          <w:rStyle w:val="a9"/>
        </w:rPr>
        <w:footnoteRef/>
      </w:r>
      <w:r>
        <w:rPr>
          <w:rtl/>
        </w:rPr>
        <w:t xml:space="preserve"> </w:t>
      </w:r>
      <w:r>
        <w:rPr>
          <w:rFonts w:hint="cs"/>
          <w:rtl/>
        </w:rPr>
        <w:t xml:space="preserve">ס"ח </w:t>
      </w:r>
      <w:proofErr w:type="spellStart"/>
      <w:r>
        <w:rPr>
          <w:rFonts w:hint="cs"/>
          <w:rtl/>
        </w:rPr>
        <w:t>התשס"ז</w:t>
      </w:r>
      <w:proofErr w:type="spellEnd"/>
      <w:r>
        <w:rPr>
          <w:rFonts w:hint="cs"/>
          <w:rtl/>
        </w:rPr>
        <w:t xml:space="preserve">, עמ' 364. </w:t>
      </w:r>
    </w:p>
  </w:footnote>
  <w:footnote w:id="23">
    <w:p w:rsidR="00355703" w:rsidRDefault="00355703" w:rsidP="00AB3999">
      <w:pPr>
        <w:pStyle w:val="a7"/>
        <w:rPr>
          <w:rtl/>
        </w:rPr>
      </w:pPr>
      <w:r>
        <w:rPr>
          <w:rStyle w:val="a9"/>
        </w:rPr>
        <w:footnoteRef/>
      </w:r>
      <w:r>
        <w:rPr>
          <w:rtl/>
        </w:rPr>
        <w:t xml:space="preserve"> </w:t>
      </w:r>
      <w:proofErr w:type="spellStart"/>
      <w:r>
        <w:rPr>
          <w:rFonts w:hint="cs"/>
          <w:rtl/>
        </w:rPr>
        <w:t>ק"ת</w:t>
      </w:r>
      <w:proofErr w:type="spellEnd"/>
      <w:r>
        <w:rPr>
          <w:rFonts w:hint="cs"/>
          <w:rtl/>
        </w:rPr>
        <w:t xml:space="preserve"> </w:t>
      </w:r>
      <w:proofErr w:type="spellStart"/>
      <w:r>
        <w:rPr>
          <w:rFonts w:hint="cs"/>
          <w:rtl/>
        </w:rPr>
        <w:t>התשכ"א</w:t>
      </w:r>
      <w:proofErr w:type="spellEnd"/>
      <w:r>
        <w:rPr>
          <w:rFonts w:hint="cs"/>
          <w:rtl/>
        </w:rPr>
        <w:t xml:space="preserve">, עמד 2525. </w:t>
      </w:r>
    </w:p>
  </w:footnote>
  <w:footnote w:id="24">
    <w:p w:rsidR="00355703" w:rsidRDefault="00355703" w:rsidP="005A18B1">
      <w:pPr>
        <w:pStyle w:val="a7"/>
        <w:rPr>
          <w:rtl/>
        </w:rPr>
      </w:pPr>
      <w:r>
        <w:rPr>
          <w:rStyle w:val="a9"/>
        </w:rPr>
        <w:footnoteRef/>
      </w:r>
      <w:r>
        <w:rPr>
          <w:rtl/>
        </w:rPr>
        <w:t xml:space="preserve"> </w:t>
      </w:r>
      <w:r>
        <w:rPr>
          <w:rFonts w:hint="cs"/>
          <w:rtl/>
        </w:rPr>
        <w:t xml:space="preserve">ס"ח </w:t>
      </w:r>
      <w:proofErr w:type="spellStart"/>
      <w:r>
        <w:rPr>
          <w:rFonts w:hint="cs"/>
          <w:rtl/>
        </w:rPr>
        <w:t>התשס"ב</w:t>
      </w:r>
      <w:proofErr w:type="spellEnd"/>
      <w:r>
        <w:rPr>
          <w:rFonts w:hint="cs"/>
          <w:rtl/>
        </w:rPr>
        <w:t xml:space="preserve">, עמ' 932. </w:t>
      </w:r>
    </w:p>
  </w:footnote>
  <w:footnote w:id="25">
    <w:p w:rsidR="00355703" w:rsidRDefault="00355703" w:rsidP="005A18B1">
      <w:pPr>
        <w:pStyle w:val="a7"/>
        <w:rPr>
          <w:rFonts w:ascii="David" w:hAnsi="David"/>
          <w:sz w:val="20"/>
        </w:rPr>
      </w:pPr>
      <w:r>
        <w:rPr>
          <w:rStyle w:val="a9"/>
          <w:rFonts w:ascii="David" w:hAnsi="David"/>
        </w:rPr>
        <w:footnoteRef/>
      </w:r>
      <w:r>
        <w:rPr>
          <w:rFonts w:ascii="David" w:hAnsi="David"/>
          <w:rtl/>
        </w:rPr>
        <w:t xml:space="preserve"> דו</w:t>
      </w:r>
      <w:r>
        <w:rPr>
          <w:rFonts w:ascii="David" w:hAnsi="David" w:hint="cs"/>
          <w:rtl/>
        </w:rPr>
        <w:t>"</w:t>
      </w:r>
      <w:r>
        <w:rPr>
          <w:rFonts w:ascii="David" w:hAnsi="David"/>
          <w:rtl/>
        </w:rPr>
        <w:t>ח סיכום שנה הנהלת בתי המשפט (</w:t>
      </w:r>
      <w:hyperlink r:id="rId3" w:history="1">
        <w:r>
          <w:rPr>
            <w:rStyle w:val="Hyperlink"/>
            <w:rFonts w:ascii="David" w:hAnsi="David"/>
            <w:rtl/>
          </w:rPr>
          <w:t>קישור</w:t>
        </w:r>
      </w:hyperlink>
      <w:r>
        <w:rPr>
          <w:rFonts w:ascii="David" w:hAnsi="David"/>
          <w:rtl/>
        </w:rPr>
        <w:t>).</w:t>
      </w:r>
    </w:p>
  </w:footnote>
  <w:footnote w:id="26">
    <w:p w:rsidR="00355703" w:rsidRPr="005827B5" w:rsidRDefault="00355703" w:rsidP="00AB3999">
      <w:pPr>
        <w:pStyle w:val="a7"/>
        <w:rPr>
          <w:rFonts w:ascii="David" w:hAnsi="David"/>
          <w:rtl/>
        </w:rPr>
      </w:pPr>
      <w:r w:rsidRPr="005827B5">
        <w:rPr>
          <w:rStyle w:val="a9"/>
          <w:rFonts w:ascii="David" w:hAnsi="David"/>
        </w:rPr>
        <w:footnoteRef/>
      </w:r>
      <w:r w:rsidRPr="005827B5">
        <w:rPr>
          <w:rFonts w:ascii="David" w:hAnsi="David"/>
          <w:rtl/>
        </w:rPr>
        <w:t xml:space="preserve"> ס"ח </w:t>
      </w:r>
      <w:proofErr w:type="spellStart"/>
      <w:r w:rsidRPr="005827B5">
        <w:rPr>
          <w:rFonts w:ascii="David" w:hAnsi="David"/>
          <w:rtl/>
        </w:rPr>
        <w:t>התש"ף</w:t>
      </w:r>
      <w:proofErr w:type="spellEnd"/>
      <w:r w:rsidRPr="005827B5">
        <w:rPr>
          <w:rFonts w:ascii="David" w:hAnsi="David"/>
          <w:rtl/>
        </w:rPr>
        <w:t>, עמ' 298.</w:t>
      </w:r>
    </w:p>
  </w:footnote>
  <w:footnote w:id="27">
    <w:p w:rsidR="00355703" w:rsidRPr="005827B5" w:rsidRDefault="00355703" w:rsidP="00AB3999">
      <w:pPr>
        <w:pStyle w:val="a7"/>
        <w:rPr>
          <w:rFonts w:ascii="David" w:hAnsi="David"/>
          <w:rtl/>
        </w:rPr>
      </w:pPr>
      <w:r w:rsidRPr="005827B5">
        <w:rPr>
          <w:rStyle w:val="a9"/>
          <w:rFonts w:ascii="David" w:hAnsi="David"/>
        </w:rPr>
        <w:footnoteRef/>
      </w:r>
      <w:r w:rsidRPr="005827B5">
        <w:rPr>
          <w:rFonts w:ascii="David" w:hAnsi="David"/>
          <w:rtl/>
        </w:rPr>
        <w:t xml:space="preserve"> ס"ח </w:t>
      </w:r>
      <w:proofErr w:type="spellStart"/>
      <w:r w:rsidRPr="005827B5">
        <w:rPr>
          <w:rFonts w:ascii="David" w:hAnsi="David"/>
          <w:rtl/>
        </w:rPr>
        <w:t>התש"ף</w:t>
      </w:r>
      <w:proofErr w:type="spellEnd"/>
      <w:r w:rsidRPr="005827B5">
        <w:rPr>
          <w:rFonts w:ascii="David" w:hAnsi="David"/>
          <w:rtl/>
        </w:rPr>
        <w:t>, עמ' 78.</w:t>
      </w:r>
    </w:p>
  </w:footnote>
  <w:footnote w:id="28">
    <w:p w:rsidR="00355703" w:rsidRPr="005827B5" w:rsidRDefault="00355703" w:rsidP="00AB3999">
      <w:pPr>
        <w:pStyle w:val="a7"/>
        <w:rPr>
          <w:rFonts w:ascii="David" w:hAnsi="David"/>
        </w:rPr>
      </w:pPr>
      <w:r w:rsidRPr="005827B5">
        <w:rPr>
          <w:rStyle w:val="a9"/>
          <w:rFonts w:ascii="David" w:hAnsi="David"/>
        </w:rPr>
        <w:footnoteRef/>
      </w:r>
      <w:r w:rsidRPr="005827B5">
        <w:rPr>
          <w:rFonts w:ascii="David" w:hAnsi="David"/>
          <w:rtl/>
        </w:rPr>
        <w:t xml:space="preserve"> ס"ח </w:t>
      </w:r>
      <w:proofErr w:type="spellStart"/>
      <w:r w:rsidRPr="005827B5">
        <w:rPr>
          <w:rFonts w:ascii="David" w:hAnsi="David"/>
          <w:rtl/>
        </w:rPr>
        <w:t>התשמ"ו</w:t>
      </w:r>
      <w:proofErr w:type="spellEnd"/>
      <w:r w:rsidRPr="005827B5">
        <w:rPr>
          <w:rFonts w:ascii="David" w:hAnsi="David"/>
          <w:rtl/>
        </w:rPr>
        <w:t>, עמ' 31</w:t>
      </w:r>
    </w:p>
  </w:footnote>
  <w:footnote w:id="29">
    <w:p w:rsidR="00355703" w:rsidRPr="005827B5" w:rsidRDefault="00355703" w:rsidP="0099383F">
      <w:pPr>
        <w:pStyle w:val="a7"/>
        <w:rPr>
          <w:rFonts w:ascii="David" w:hAnsi="David"/>
        </w:rPr>
      </w:pPr>
      <w:r w:rsidRPr="005827B5">
        <w:rPr>
          <w:rStyle w:val="a9"/>
          <w:rFonts w:ascii="David" w:hAnsi="David"/>
        </w:rPr>
        <w:footnoteRef/>
      </w:r>
      <w:r w:rsidRPr="005827B5">
        <w:rPr>
          <w:rFonts w:ascii="David" w:hAnsi="David"/>
          <w:rtl/>
        </w:rPr>
        <w:t xml:space="preserve"> </w:t>
      </w:r>
      <w:proofErr w:type="spellStart"/>
      <w:r w:rsidRPr="005827B5">
        <w:rPr>
          <w:rFonts w:ascii="David" w:hAnsi="David"/>
          <w:rtl/>
        </w:rPr>
        <w:t>ק"ת</w:t>
      </w:r>
      <w:proofErr w:type="spellEnd"/>
      <w:r w:rsidRPr="005827B5">
        <w:rPr>
          <w:rFonts w:ascii="David" w:hAnsi="David"/>
          <w:rtl/>
        </w:rPr>
        <w:t xml:space="preserve"> </w:t>
      </w:r>
      <w:proofErr w:type="spellStart"/>
      <w:r w:rsidRPr="005827B5">
        <w:rPr>
          <w:rFonts w:ascii="David" w:hAnsi="David"/>
          <w:rtl/>
        </w:rPr>
        <w:t>התשל"ד</w:t>
      </w:r>
      <w:proofErr w:type="spellEnd"/>
      <w:r w:rsidRPr="005827B5">
        <w:rPr>
          <w:rFonts w:ascii="David" w:hAnsi="David"/>
          <w:rtl/>
        </w:rPr>
        <w:t>, עמ' 1200.</w:t>
      </w:r>
    </w:p>
  </w:footnote>
  <w:footnote w:id="30">
    <w:p w:rsidR="00355703" w:rsidRDefault="00355703">
      <w:pPr>
        <w:pStyle w:val="a7"/>
      </w:pPr>
      <w:r>
        <w:rPr>
          <w:rStyle w:val="a9"/>
        </w:rPr>
        <w:footnoteRef/>
      </w:r>
      <w:r>
        <w:rPr>
          <w:rtl/>
        </w:rPr>
        <w:t xml:space="preserve"> </w:t>
      </w:r>
      <w:proofErr w:type="spellStart"/>
      <w:r>
        <w:rPr>
          <w:rFonts w:hint="cs"/>
          <w:rtl/>
        </w:rPr>
        <w:t>ה"ח</w:t>
      </w:r>
      <w:proofErr w:type="spellEnd"/>
      <w:r>
        <w:rPr>
          <w:rFonts w:hint="cs"/>
          <w:rtl/>
        </w:rPr>
        <w:t xml:space="preserve"> </w:t>
      </w:r>
      <w:proofErr w:type="spellStart"/>
      <w:r>
        <w:rPr>
          <w:rFonts w:hint="cs"/>
          <w:rtl/>
        </w:rPr>
        <w:t>התשע"ט</w:t>
      </w:r>
      <w:proofErr w:type="spellEnd"/>
      <w:r>
        <w:rPr>
          <w:rFonts w:hint="cs"/>
          <w:rtl/>
        </w:rPr>
        <w:t>, עמ' 154.</w:t>
      </w:r>
    </w:p>
  </w:footnote>
  <w:footnote w:id="31">
    <w:p w:rsidR="00355703" w:rsidRPr="005827B5" w:rsidRDefault="00355703" w:rsidP="000F0C37">
      <w:pPr>
        <w:pStyle w:val="a7"/>
        <w:rPr>
          <w:rFonts w:ascii="David" w:hAnsi="David"/>
        </w:rPr>
      </w:pPr>
      <w:r w:rsidRPr="005827B5">
        <w:rPr>
          <w:rStyle w:val="a9"/>
          <w:rFonts w:ascii="David" w:hAnsi="David"/>
        </w:rPr>
        <w:footnoteRef/>
      </w:r>
      <w:r w:rsidRPr="005827B5">
        <w:rPr>
          <w:rFonts w:ascii="David" w:hAnsi="David"/>
          <w:rtl/>
        </w:rPr>
        <w:t xml:space="preserve"> ס"</w:t>
      </w:r>
      <w:r>
        <w:rPr>
          <w:rFonts w:ascii="David" w:hAnsi="David" w:hint="cs"/>
          <w:rtl/>
        </w:rPr>
        <w:t>ח</w:t>
      </w:r>
      <w:r w:rsidRPr="005827B5">
        <w:rPr>
          <w:rFonts w:ascii="David" w:hAnsi="David"/>
          <w:rtl/>
        </w:rPr>
        <w:t xml:space="preserve"> </w:t>
      </w:r>
      <w:proofErr w:type="spellStart"/>
      <w:r w:rsidRPr="005827B5">
        <w:rPr>
          <w:rFonts w:ascii="David" w:hAnsi="David"/>
          <w:rtl/>
        </w:rPr>
        <w:t>התשל"ז</w:t>
      </w:r>
      <w:proofErr w:type="spellEnd"/>
      <w:r w:rsidRPr="005827B5">
        <w:rPr>
          <w:rFonts w:ascii="David" w:hAnsi="David"/>
          <w:rtl/>
        </w:rPr>
        <w:t>, עמ' 226.</w:t>
      </w:r>
    </w:p>
  </w:footnote>
  <w:footnote w:id="32">
    <w:p w:rsidR="00355703" w:rsidRPr="005827B5" w:rsidRDefault="00355703" w:rsidP="00AB3999">
      <w:pPr>
        <w:pStyle w:val="a7"/>
        <w:rPr>
          <w:rFonts w:ascii="David" w:hAnsi="David"/>
          <w:rtl/>
        </w:rPr>
      </w:pPr>
      <w:r w:rsidRPr="005827B5">
        <w:rPr>
          <w:rStyle w:val="a9"/>
          <w:rFonts w:ascii="David" w:hAnsi="David"/>
        </w:rPr>
        <w:footnoteRef/>
      </w:r>
      <w:r w:rsidRPr="005827B5">
        <w:rPr>
          <w:rFonts w:ascii="David" w:hAnsi="David"/>
          <w:rtl/>
        </w:rPr>
        <w:t xml:space="preserve"> כפי שנובע גם מעקרון אי-התלות שבסעיף 3 לחוק בתי דין </w:t>
      </w:r>
      <w:proofErr w:type="spellStart"/>
      <w:r w:rsidRPr="005827B5">
        <w:rPr>
          <w:rFonts w:ascii="David" w:hAnsi="David"/>
          <w:rtl/>
        </w:rPr>
        <w:t>מינהליים</w:t>
      </w:r>
      <w:proofErr w:type="spellEnd"/>
      <w:r w:rsidRPr="005827B5">
        <w:rPr>
          <w:rFonts w:ascii="David" w:hAnsi="David"/>
          <w:rtl/>
        </w:rPr>
        <w:t>.</w:t>
      </w:r>
    </w:p>
  </w:footnote>
  <w:footnote w:id="33">
    <w:p w:rsidR="00355703" w:rsidRPr="005827B5" w:rsidRDefault="00355703" w:rsidP="00AB3999">
      <w:pPr>
        <w:pStyle w:val="a7"/>
        <w:rPr>
          <w:rFonts w:ascii="David" w:hAnsi="David"/>
        </w:rPr>
      </w:pPr>
      <w:r w:rsidRPr="005827B5">
        <w:rPr>
          <w:rStyle w:val="a9"/>
          <w:rFonts w:ascii="David" w:hAnsi="David"/>
        </w:rPr>
        <w:footnoteRef/>
      </w:r>
      <w:r w:rsidRPr="005827B5">
        <w:rPr>
          <w:rFonts w:ascii="David" w:hAnsi="David"/>
          <w:rtl/>
        </w:rPr>
        <w:t xml:space="preserve"> ס"ח </w:t>
      </w:r>
      <w:proofErr w:type="spellStart"/>
      <w:r w:rsidRPr="005827B5">
        <w:rPr>
          <w:rFonts w:ascii="David" w:hAnsi="David"/>
          <w:rtl/>
        </w:rPr>
        <w:t>התשי"ב</w:t>
      </w:r>
      <w:proofErr w:type="spellEnd"/>
      <w:r w:rsidRPr="005827B5">
        <w:rPr>
          <w:rFonts w:ascii="David" w:hAnsi="David"/>
          <w:rtl/>
        </w:rPr>
        <w:t>, עמ' 354.</w:t>
      </w:r>
    </w:p>
  </w:footnote>
  <w:footnote w:id="34">
    <w:p w:rsidR="00355703" w:rsidRPr="005827B5" w:rsidRDefault="00355703" w:rsidP="00AB3999">
      <w:pPr>
        <w:pStyle w:val="a7"/>
        <w:rPr>
          <w:rFonts w:ascii="David" w:hAnsi="David"/>
          <w:rtl/>
        </w:rPr>
      </w:pPr>
      <w:r w:rsidRPr="005827B5">
        <w:rPr>
          <w:rStyle w:val="a9"/>
          <w:rFonts w:ascii="David" w:hAnsi="David"/>
        </w:rPr>
        <w:footnoteRef/>
      </w:r>
      <w:r w:rsidRPr="005827B5">
        <w:rPr>
          <w:rFonts w:ascii="David" w:hAnsi="David"/>
          <w:rtl/>
        </w:rPr>
        <w:t xml:space="preserve"> ס"ח </w:t>
      </w:r>
      <w:proofErr w:type="spellStart"/>
      <w:r w:rsidRPr="005827B5">
        <w:rPr>
          <w:rFonts w:ascii="David" w:hAnsi="David"/>
          <w:rtl/>
        </w:rPr>
        <w:t>התשמ"ד</w:t>
      </w:r>
      <w:proofErr w:type="spellEnd"/>
      <w:r w:rsidRPr="005827B5">
        <w:rPr>
          <w:rFonts w:ascii="David" w:hAnsi="David"/>
          <w:rtl/>
        </w:rPr>
        <w:t>, עמ' 198</w:t>
      </w:r>
      <w:r>
        <w:rPr>
          <w:rFonts w:ascii="David" w:hAnsi="David" w:hint="cs"/>
          <w:rtl/>
        </w:rPr>
        <w:t>.</w:t>
      </w:r>
    </w:p>
  </w:footnote>
  <w:footnote w:id="35">
    <w:p w:rsidR="00355703" w:rsidRPr="005827B5" w:rsidRDefault="00355703" w:rsidP="00AB3999">
      <w:pPr>
        <w:pStyle w:val="a7"/>
        <w:rPr>
          <w:rFonts w:ascii="David" w:hAnsi="David"/>
        </w:rPr>
      </w:pPr>
      <w:r w:rsidRPr="005827B5">
        <w:rPr>
          <w:rStyle w:val="a9"/>
          <w:rFonts w:ascii="David" w:hAnsi="David"/>
        </w:rPr>
        <w:footnoteRef/>
      </w:r>
      <w:r w:rsidRPr="005827B5">
        <w:rPr>
          <w:rFonts w:ascii="David" w:hAnsi="David"/>
          <w:rtl/>
        </w:rPr>
        <w:t xml:space="preserve"> ס"ח </w:t>
      </w:r>
      <w:proofErr w:type="spellStart"/>
      <w:r w:rsidRPr="005827B5">
        <w:rPr>
          <w:rFonts w:ascii="David" w:hAnsi="David"/>
          <w:rtl/>
        </w:rPr>
        <w:t>התשמ"א</w:t>
      </w:r>
      <w:proofErr w:type="spellEnd"/>
      <w:r w:rsidRPr="005827B5">
        <w:rPr>
          <w:rFonts w:ascii="David" w:hAnsi="David"/>
          <w:rtl/>
        </w:rPr>
        <w:t>, עמ' 302.</w:t>
      </w:r>
    </w:p>
  </w:footnote>
  <w:footnote w:id="36">
    <w:p w:rsidR="00355703" w:rsidRPr="005827B5" w:rsidRDefault="00355703" w:rsidP="00AB3999">
      <w:pPr>
        <w:pStyle w:val="a7"/>
        <w:rPr>
          <w:rFonts w:ascii="David" w:hAnsi="David"/>
          <w:rtl/>
        </w:rPr>
      </w:pPr>
      <w:r w:rsidRPr="005827B5">
        <w:rPr>
          <w:rStyle w:val="a9"/>
          <w:rFonts w:ascii="David" w:hAnsi="David"/>
        </w:rPr>
        <w:footnoteRef/>
      </w:r>
      <w:r w:rsidRPr="005827B5">
        <w:rPr>
          <w:rFonts w:ascii="David" w:hAnsi="David"/>
          <w:rtl/>
        </w:rPr>
        <w:t xml:space="preserve"> יצחק זמיר </w:t>
      </w:r>
      <w:hyperlink r:id="rId4" w:history="1">
        <w:r w:rsidRPr="005827B5">
          <w:rPr>
            <w:rFonts w:ascii="David" w:hAnsi="David"/>
            <w:b/>
            <w:bCs/>
            <w:rtl/>
          </w:rPr>
          <w:t xml:space="preserve">הסמכות </w:t>
        </w:r>
        <w:proofErr w:type="spellStart"/>
        <w:r w:rsidRPr="005827B5">
          <w:rPr>
            <w:rFonts w:ascii="David" w:hAnsi="David"/>
            <w:b/>
            <w:bCs/>
            <w:rtl/>
          </w:rPr>
          <w:t>המינהלית</w:t>
        </w:r>
        <w:proofErr w:type="spellEnd"/>
      </w:hyperlink>
      <w:r w:rsidRPr="005827B5">
        <w:rPr>
          <w:rFonts w:ascii="David" w:hAnsi="David"/>
          <w:rtl/>
        </w:rPr>
        <w:t xml:space="preserve"> כרך ד – סדרי הביקורת השיפוטית 2575 (2017).</w:t>
      </w:r>
    </w:p>
  </w:footnote>
  <w:footnote w:id="37">
    <w:p w:rsidR="00355703" w:rsidRPr="005827B5" w:rsidRDefault="00355703" w:rsidP="00AB3999">
      <w:pPr>
        <w:pStyle w:val="a7"/>
        <w:rPr>
          <w:rFonts w:ascii="David" w:hAnsi="David"/>
        </w:rPr>
      </w:pPr>
      <w:r w:rsidRPr="005827B5">
        <w:rPr>
          <w:rStyle w:val="a9"/>
          <w:rFonts w:ascii="David" w:hAnsi="David"/>
        </w:rPr>
        <w:footnoteRef/>
      </w:r>
      <w:r w:rsidRPr="005827B5">
        <w:rPr>
          <w:rFonts w:ascii="David" w:hAnsi="David"/>
          <w:rtl/>
        </w:rPr>
        <w:t xml:space="preserve"> ס"ח </w:t>
      </w:r>
      <w:proofErr w:type="spellStart"/>
      <w:r w:rsidRPr="005827B5">
        <w:rPr>
          <w:rFonts w:ascii="David" w:hAnsi="David"/>
          <w:rtl/>
        </w:rPr>
        <w:t>התשמ"ד</w:t>
      </w:r>
      <w:proofErr w:type="spellEnd"/>
      <w:r w:rsidRPr="005827B5">
        <w:rPr>
          <w:rFonts w:ascii="David" w:hAnsi="David"/>
          <w:rtl/>
        </w:rPr>
        <w:t>, עמ' 78.</w:t>
      </w:r>
    </w:p>
  </w:footnote>
  <w:footnote w:id="38">
    <w:p w:rsidR="00355703" w:rsidRPr="005827B5" w:rsidRDefault="00355703" w:rsidP="00AB3999">
      <w:pPr>
        <w:pStyle w:val="a7"/>
        <w:rPr>
          <w:rFonts w:ascii="David" w:hAnsi="David"/>
          <w:rtl/>
        </w:rPr>
      </w:pPr>
      <w:r w:rsidRPr="005827B5">
        <w:rPr>
          <w:rStyle w:val="a9"/>
          <w:rFonts w:ascii="David" w:hAnsi="David"/>
        </w:rPr>
        <w:footnoteRef/>
      </w:r>
      <w:r w:rsidRPr="005827B5">
        <w:rPr>
          <w:rFonts w:ascii="David" w:hAnsi="David"/>
          <w:rtl/>
        </w:rPr>
        <w:t xml:space="preserve"> </w:t>
      </w:r>
      <w:proofErr w:type="spellStart"/>
      <w:r w:rsidRPr="005827B5">
        <w:rPr>
          <w:rFonts w:ascii="David" w:hAnsi="David"/>
          <w:rtl/>
        </w:rPr>
        <w:t>ק"ת</w:t>
      </w:r>
      <w:proofErr w:type="spellEnd"/>
      <w:r w:rsidRPr="005827B5">
        <w:rPr>
          <w:rFonts w:ascii="David" w:hAnsi="David"/>
          <w:rtl/>
        </w:rPr>
        <w:t xml:space="preserve"> </w:t>
      </w:r>
      <w:proofErr w:type="spellStart"/>
      <w:r w:rsidRPr="005827B5">
        <w:rPr>
          <w:rFonts w:ascii="David" w:hAnsi="David"/>
          <w:rtl/>
        </w:rPr>
        <w:t>התשמ"ד</w:t>
      </w:r>
      <w:proofErr w:type="spellEnd"/>
      <w:r w:rsidRPr="005827B5">
        <w:rPr>
          <w:rFonts w:ascii="David" w:hAnsi="David"/>
          <w:rtl/>
        </w:rPr>
        <w:t>, עמ' 1984.</w:t>
      </w:r>
    </w:p>
  </w:footnote>
  <w:footnote w:id="39">
    <w:p w:rsidR="00355703" w:rsidRDefault="00355703">
      <w:pPr>
        <w:pStyle w:val="a7"/>
      </w:pPr>
      <w:r>
        <w:rPr>
          <w:rStyle w:val="a9"/>
        </w:rPr>
        <w:footnoteRef/>
      </w:r>
      <w:r>
        <w:rPr>
          <w:rtl/>
        </w:rPr>
        <w:t xml:space="preserve"> </w:t>
      </w:r>
      <w:r>
        <w:rPr>
          <w:rFonts w:hint="cs"/>
          <w:rtl/>
        </w:rPr>
        <w:t xml:space="preserve">ס"ח </w:t>
      </w:r>
      <w:proofErr w:type="spellStart"/>
      <w:r>
        <w:rPr>
          <w:rFonts w:hint="cs"/>
          <w:rtl/>
        </w:rPr>
        <w:t>התשע"ט</w:t>
      </w:r>
      <w:proofErr w:type="spellEnd"/>
      <w:r>
        <w:rPr>
          <w:rFonts w:hint="cs"/>
          <w:rtl/>
        </w:rPr>
        <w:t>, עמ' 298.</w:t>
      </w:r>
    </w:p>
  </w:footnote>
  <w:footnote w:id="40">
    <w:p w:rsidR="00355703" w:rsidRDefault="00355703" w:rsidP="00AB3999">
      <w:pPr>
        <w:pStyle w:val="a7"/>
      </w:pPr>
      <w:r w:rsidRPr="005827B5">
        <w:rPr>
          <w:rStyle w:val="a9"/>
          <w:rFonts w:ascii="David" w:hAnsi="David"/>
        </w:rPr>
        <w:footnoteRef/>
      </w:r>
      <w:r w:rsidRPr="005827B5">
        <w:rPr>
          <w:rFonts w:ascii="David" w:hAnsi="David"/>
          <w:rtl/>
        </w:rPr>
        <w:t xml:space="preserve"> ס"ח </w:t>
      </w:r>
      <w:proofErr w:type="spellStart"/>
      <w:r w:rsidRPr="005827B5">
        <w:rPr>
          <w:rFonts w:ascii="David" w:hAnsi="David"/>
          <w:rtl/>
        </w:rPr>
        <w:t>התשמ"א</w:t>
      </w:r>
      <w:proofErr w:type="spellEnd"/>
      <w:r w:rsidRPr="005827B5">
        <w:rPr>
          <w:rFonts w:ascii="David" w:hAnsi="David"/>
          <w:rtl/>
        </w:rPr>
        <w:t>, עמ' 12</w:t>
      </w:r>
      <w:r>
        <w:rPr>
          <w:rFonts w:hint="cs"/>
          <w:rtl/>
        </w:rPr>
        <w:t>8.</w:t>
      </w:r>
    </w:p>
  </w:footnote>
  <w:footnote w:id="41">
    <w:p w:rsidR="00355703" w:rsidRDefault="00355703">
      <w:pPr>
        <w:pStyle w:val="a7"/>
        <w:rPr>
          <w:rtl/>
        </w:rPr>
      </w:pPr>
      <w:r>
        <w:rPr>
          <w:rStyle w:val="a9"/>
        </w:rPr>
        <w:footnoteRef/>
      </w:r>
      <w:r>
        <w:rPr>
          <w:rtl/>
        </w:rPr>
        <w:t xml:space="preserve"> </w:t>
      </w:r>
      <w:r>
        <w:rPr>
          <w:rFonts w:hint="cs"/>
          <w:rtl/>
        </w:rPr>
        <w:t xml:space="preserve">ס"ח </w:t>
      </w:r>
      <w:proofErr w:type="spellStart"/>
      <w:r>
        <w:rPr>
          <w:rFonts w:hint="cs"/>
          <w:rtl/>
        </w:rPr>
        <w:t>התשס"ב</w:t>
      </w:r>
      <w:proofErr w:type="spellEnd"/>
      <w:r>
        <w:rPr>
          <w:rFonts w:hint="cs"/>
          <w:rtl/>
        </w:rPr>
        <w:t>, עמ' 590.</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610F3"/>
    <w:multiLevelType w:val="hybridMultilevel"/>
    <w:tmpl w:val="D9BA4596"/>
    <w:lvl w:ilvl="0" w:tplc="2FF4FFE2">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9A1382"/>
    <w:multiLevelType w:val="hybridMultilevel"/>
    <w:tmpl w:val="41CA435E"/>
    <w:lvl w:ilvl="0" w:tplc="A476C63A">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EB131A"/>
    <w:multiLevelType w:val="hybridMultilevel"/>
    <w:tmpl w:val="FA984792"/>
    <w:lvl w:ilvl="0" w:tplc="6E647878">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56155E"/>
    <w:multiLevelType w:val="hybridMultilevel"/>
    <w:tmpl w:val="60F03540"/>
    <w:lvl w:ilvl="0" w:tplc="5532C948">
      <w:start w:val="1"/>
      <w:numFmt w:val="decimal"/>
      <w:lvlText w:val="%1)"/>
      <w:lvlJc w:val="left"/>
      <w:pPr>
        <w:ind w:left="720" w:hanging="360"/>
      </w:pPr>
      <w:rPr>
        <w:rFonts w:ascii="David" w:hAnsi="David" w:cs="David" w:hint="default"/>
        <w:b w:val="0"/>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161C6C6A"/>
    <w:multiLevelType w:val="hybridMultilevel"/>
    <w:tmpl w:val="B59EE486"/>
    <w:lvl w:ilvl="0" w:tplc="D390FBCA">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496057"/>
    <w:multiLevelType w:val="hybridMultilevel"/>
    <w:tmpl w:val="4A5E637A"/>
    <w:lvl w:ilvl="0" w:tplc="6486D446">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84473F"/>
    <w:multiLevelType w:val="hybridMultilevel"/>
    <w:tmpl w:val="78EA26CA"/>
    <w:lvl w:ilvl="0" w:tplc="BB2861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B0C45D9"/>
    <w:multiLevelType w:val="hybridMultilevel"/>
    <w:tmpl w:val="9CF4DDFA"/>
    <w:lvl w:ilvl="0" w:tplc="390048E0">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BBE74A0"/>
    <w:multiLevelType w:val="hybridMultilevel"/>
    <w:tmpl w:val="D2A0BBEA"/>
    <w:lvl w:ilvl="0" w:tplc="A81E00B4">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C7B5989"/>
    <w:multiLevelType w:val="hybridMultilevel"/>
    <w:tmpl w:val="32E84904"/>
    <w:lvl w:ilvl="0" w:tplc="E214B020">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D9F0916"/>
    <w:multiLevelType w:val="hybridMultilevel"/>
    <w:tmpl w:val="9F78340A"/>
    <w:lvl w:ilvl="0" w:tplc="9E22019C">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096EBB"/>
    <w:multiLevelType w:val="hybridMultilevel"/>
    <w:tmpl w:val="7F067576"/>
    <w:lvl w:ilvl="0" w:tplc="6BE4A638">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3FF16DB"/>
    <w:multiLevelType w:val="hybridMultilevel"/>
    <w:tmpl w:val="E898AB7C"/>
    <w:lvl w:ilvl="0" w:tplc="54F8053C">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40344E8"/>
    <w:multiLevelType w:val="hybridMultilevel"/>
    <w:tmpl w:val="9830FBA6"/>
    <w:lvl w:ilvl="0" w:tplc="409CEFAC">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4657B36"/>
    <w:multiLevelType w:val="hybridMultilevel"/>
    <w:tmpl w:val="3A1222F6"/>
    <w:lvl w:ilvl="0" w:tplc="B016A708">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1166B9"/>
    <w:multiLevelType w:val="hybridMultilevel"/>
    <w:tmpl w:val="15C0DF0C"/>
    <w:lvl w:ilvl="0" w:tplc="E7EE31F0">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E3D30"/>
    <w:multiLevelType w:val="hybridMultilevel"/>
    <w:tmpl w:val="57C47366"/>
    <w:lvl w:ilvl="0" w:tplc="50149B96">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A8D0E3E"/>
    <w:multiLevelType w:val="hybridMultilevel"/>
    <w:tmpl w:val="055E5A8E"/>
    <w:lvl w:ilvl="0" w:tplc="20FE15BC">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B4A02C6"/>
    <w:multiLevelType w:val="hybridMultilevel"/>
    <w:tmpl w:val="19B0EC9C"/>
    <w:lvl w:ilvl="0" w:tplc="EAC4ED96">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D1A0445"/>
    <w:multiLevelType w:val="hybridMultilevel"/>
    <w:tmpl w:val="0EC4E256"/>
    <w:lvl w:ilvl="0" w:tplc="3DA68B2A">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FF50B81"/>
    <w:multiLevelType w:val="hybridMultilevel"/>
    <w:tmpl w:val="25F6DC2A"/>
    <w:lvl w:ilvl="0" w:tplc="F8FED072">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17C2D5B"/>
    <w:multiLevelType w:val="hybridMultilevel"/>
    <w:tmpl w:val="66DEE9F8"/>
    <w:lvl w:ilvl="0" w:tplc="CC6E481A">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30762C9"/>
    <w:multiLevelType w:val="hybridMultilevel"/>
    <w:tmpl w:val="235275AC"/>
    <w:lvl w:ilvl="0" w:tplc="7F60F868">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59E204F"/>
    <w:multiLevelType w:val="hybridMultilevel"/>
    <w:tmpl w:val="470C0578"/>
    <w:lvl w:ilvl="0" w:tplc="079A0574">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C2B0EDB"/>
    <w:multiLevelType w:val="hybridMultilevel"/>
    <w:tmpl w:val="38FC71A8"/>
    <w:lvl w:ilvl="0" w:tplc="C50CD2D2">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C890416"/>
    <w:multiLevelType w:val="hybridMultilevel"/>
    <w:tmpl w:val="D73A8C2A"/>
    <w:lvl w:ilvl="0" w:tplc="43CC5FB8">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D3E3AC2"/>
    <w:multiLevelType w:val="hybridMultilevel"/>
    <w:tmpl w:val="D1DEDC1C"/>
    <w:lvl w:ilvl="0" w:tplc="609A559A">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EC14455"/>
    <w:multiLevelType w:val="hybridMultilevel"/>
    <w:tmpl w:val="C082D4EE"/>
    <w:lvl w:ilvl="0" w:tplc="E0EEAD08">
      <w:start w:val="1"/>
      <w:numFmt w:val="decimal"/>
      <w:lvlText w:val="%1."/>
      <w:lvlJc w:val="left"/>
      <w:pPr>
        <w:ind w:left="720" w:hanging="360"/>
      </w:pPr>
      <w:rPr>
        <w:rFonts w:hint="default"/>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1407F7F"/>
    <w:multiLevelType w:val="hybridMultilevel"/>
    <w:tmpl w:val="06D2FB50"/>
    <w:lvl w:ilvl="0" w:tplc="65CE152C">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2B321E1"/>
    <w:multiLevelType w:val="hybridMultilevel"/>
    <w:tmpl w:val="CCBCF4DC"/>
    <w:lvl w:ilvl="0" w:tplc="CB16B8D0">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6E45354"/>
    <w:multiLevelType w:val="hybridMultilevel"/>
    <w:tmpl w:val="4EEC1946"/>
    <w:lvl w:ilvl="0" w:tplc="5C48B74C">
      <w:start w:val="1"/>
      <w:numFmt w:val="decimal"/>
      <w:lvlText w:val="%1."/>
      <w:lvlJc w:val="left"/>
      <w:pPr>
        <w:ind w:left="720" w:hanging="360"/>
      </w:pPr>
      <w:rPr>
        <w:rFonts w:hint="default"/>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8300BEF"/>
    <w:multiLevelType w:val="hybridMultilevel"/>
    <w:tmpl w:val="E5CE8FAA"/>
    <w:lvl w:ilvl="0" w:tplc="90EE6EBE">
      <w:start w:val="1"/>
      <w:numFmt w:val="decimal"/>
      <w:lvlText w:val="%1."/>
      <w:lvlJc w:val="left"/>
      <w:pPr>
        <w:ind w:left="720" w:hanging="360"/>
      </w:pPr>
      <w:rPr>
        <w:rFonts w:hint="default"/>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9E17515"/>
    <w:multiLevelType w:val="hybridMultilevel"/>
    <w:tmpl w:val="DF820244"/>
    <w:lvl w:ilvl="0" w:tplc="DF0203B4">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C65735B"/>
    <w:multiLevelType w:val="hybridMultilevel"/>
    <w:tmpl w:val="81FAE566"/>
    <w:lvl w:ilvl="0" w:tplc="E98E953C">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EE267D7"/>
    <w:multiLevelType w:val="hybridMultilevel"/>
    <w:tmpl w:val="02302FCC"/>
    <w:lvl w:ilvl="0" w:tplc="D9588728">
      <w:start w:val="1"/>
      <w:numFmt w:val="hebrew1"/>
      <w:lvlRestart w:val="0"/>
      <w:lvlText w:val="(%1)"/>
      <w:lvlJc w:val="left"/>
      <w:pPr>
        <w:tabs>
          <w:tab w:val="num" w:pos="624"/>
        </w:tabs>
        <w:ind w:left="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4FA24330"/>
    <w:multiLevelType w:val="hybridMultilevel"/>
    <w:tmpl w:val="75E2F442"/>
    <w:lvl w:ilvl="0" w:tplc="764A90A6">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1185C89"/>
    <w:multiLevelType w:val="hybridMultilevel"/>
    <w:tmpl w:val="71D09DEA"/>
    <w:lvl w:ilvl="0" w:tplc="D7A68054">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55A2B35"/>
    <w:multiLevelType w:val="hybridMultilevel"/>
    <w:tmpl w:val="F61ADD04"/>
    <w:lvl w:ilvl="0" w:tplc="EFC26F30">
      <w:start w:val="1"/>
      <w:numFmt w:val="hebrew1"/>
      <w:pStyle w:val="4"/>
      <w:suff w:val="space"/>
      <w:lvlText w:val="%1."/>
      <w:lvlJc w:val="left"/>
      <w:pPr>
        <w:ind w:left="0" w:firstLine="0"/>
      </w:pPr>
      <w:rPr>
        <w:rFonts w:hint="default"/>
      </w:rPr>
    </w:lvl>
    <w:lvl w:ilvl="1" w:tplc="D3D4E8B2">
      <w:start w:val="1"/>
      <w:numFmt w:val="decimal"/>
      <w:lvlText w:val="(%2)"/>
      <w:lvlJc w:val="left"/>
      <w:pPr>
        <w:tabs>
          <w:tab w:val="num" w:pos="624"/>
        </w:tabs>
        <w:ind w:left="0" w:firstLine="0"/>
      </w:pPr>
      <w:rPr>
        <w:rFonts w:hint="default"/>
      </w:rPr>
    </w:lvl>
    <w:lvl w:ilvl="2" w:tplc="5D2AB1E4">
      <w:start w:val="1"/>
      <w:numFmt w:val="hebrew1"/>
      <w:lvlText w:val="(%3)"/>
      <w:lvlJc w:val="left"/>
      <w:pPr>
        <w:tabs>
          <w:tab w:val="num" w:pos="624"/>
        </w:tabs>
        <w:ind w:left="0" w:firstLine="0"/>
      </w:pPr>
      <w:rPr>
        <w:rFonts w:hint="default"/>
      </w:rPr>
    </w:lvl>
    <w:lvl w:ilvl="3" w:tplc="1F820BA4">
      <w:start w:val="1"/>
      <w:numFmt w:val="hebrew1"/>
      <w:lvlRestart w:val="0"/>
      <w:lvlText w:val="(%4)"/>
      <w:lvlJc w:val="left"/>
      <w:pPr>
        <w:tabs>
          <w:tab w:val="num" w:pos="624"/>
        </w:tabs>
        <w:ind w:left="0" w:firstLine="0"/>
      </w:pPr>
      <w:rPr>
        <w:rFonts w:hint="default"/>
      </w:rPr>
    </w:lvl>
    <w:lvl w:ilvl="4" w:tplc="62C6E096">
      <w:start w:val="1"/>
      <w:numFmt w:val="decimal"/>
      <w:lvlRestart w:val="0"/>
      <w:lvlText w:val="(%5)"/>
      <w:lvlJc w:val="left"/>
      <w:pPr>
        <w:tabs>
          <w:tab w:val="num" w:pos="3864"/>
        </w:tabs>
        <w:ind w:left="3240" w:firstLine="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57981D2F"/>
    <w:multiLevelType w:val="hybridMultilevel"/>
    <w:tmpl w:val="B930F778"/>
    <w:lvl w:ilvl="0" w:tplc="895AD78C">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7F50911"/>
    <w:multiLevelType w:val="hybridMultilevel"/>
    <w:tmpl w:val="25F6AB58"/>
    <w:lvl w:ilvl="0" w:tplc="CCB4A5F8">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8976466"/>
    <w:multiLevelType w:val="hybridMultilevel"/>
    <w:tmpl w:val="D062DAD8"/>
    <w:lvl w:ilvl="0" w:tplc="71623A86">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B3B28B0"/>
    <w:multiLevelType w:val="hybridMultilevel"/>
    <w:tmpl w:val="41ACEA96"/>
    <w:lvl w:ilvl="0" w:tplc="06A8C010">
      <w:start w:val="1"/>
      <w:numFmt w:val="decimal"/>
      <w:pStyle w:val="TOC3"/>
      <w:lvlText w:val="%1."/>
      <w:lvlJc w:val="left"/>
      <w:pPr>
        <w:ind w:left="1287" w:hanging="360"/>
      </w:pPr>
      <w:rPr>
        <w:rFonts w:cs="David" w:hint="default"/>
        <w:bCs w:val="0"/>
        <w:iCs w:val="0"/>
        <w:szCs w:val="24"/>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42" w15:restartNumberingAfterBreak="0">
    <w:nsid w:val="5C991AC1"/>
    <w:multiLevelType w:val="hybridMultilevel"/>
    <w:tmpl w:val="08CCFC76"/>
    <w:lvl w:ilvl="0" w:tplc="55667B9E">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E970792"/>
    <w:multiLevelType w:val="hybridMultilevel"/>
    <w:tmpl w:val="4104C67E"/>
    <w:lvl w:ilvl="0" w:tplc="18A4B614">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F2312E2"/>
    <w:multiLevelType w:val="hybridMultilevel"/>
    <w:tmpl w:val="4C1A15CC"/>
    <w:lvl w:ilvl="0" w:tplc="3E7C672E">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F532BC8"/>
    <w:multiLevelType w:val="hybridMultilevel"/>
    <w:tmpl w:val="81C4BE22"/>
    <w:lvl w:ilvl="0" w:tplc="0D2A3EA6">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6A106B8"/>
    <w:multiLevelType w:val="hybridMultilevel"/>
    <w:tmpl w:val="D47A0336"/>
    <w:lvl w:ilvl="0" w:tplc="67F6B680">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9401C50"/>
    <w:multiLevelType w:val="hybridMultilevel"/>
    <w:tmpl w:val="A1608070"/>
    <w:lvl w:ilvl="0" w:tplc="0F1858CA">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A2149F5"/>
    <w:multiLevelType w:val="hybridMultilevel"/>
    <w:tmpl w:val="0CDEED4A"/>
    <w:lvl w:ilvl="0" w:tplc="04EAF3A6">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ADC3F06"/>
    <w:multiLevelType w:val="hybridMultilevel"/>
    <w:tmpl w:val="D03045D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15:restartNumberingAfterBreak="0">
    <w:nsid w:val="6CC91933"/>
    <w:multiLevelType w:val="hybridMultilevel"/>
    <w:tmpl w:val="E8D4C9BC"/>
    <w:lvl w:ilvl="0" w:tplc="4CF4A1F0">
      <w:start w:val="1"/>
      <w:numFmt w:val="decimal"/>
      <w:lvlText w:val="%1."/>
      <w:lvlJc w:val="left"/>
      <w:pPr>
        <w:ind w:left="720" w:hanging="360"/>
      </w:pPr>
      <w:rPr>
        <w:rFonts w:hint="default"/>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2E9180C"/>
    <w:multiLevelType w:val="hybridMultilevel"/>
    <w:tmpl w:val="77F091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53C544D"/>
    <w:multiLevelType w:val="hybridMultilevel"/>
    <w:tmpl w:val="C7443990"/>
    <w:lvl w:ilvl="0" w:tplc="0409000F">
      <w:start w:val="1"/>
      <w:numFmt w:val="decimal"/>
      <w:lvlText w:val="%1."/>
      <w:lvlJc w:val="left"/>
      <w:pPr>
        <w:tabs>
          <w:tab w:val="num" w:pos="0"/>
        </w:tabs>
        <w:ind w:left="0" w:firstLine="0"/>
      </w:pPr>
      <w:rPr>
        <w:rFonts w:hint="default"/>
      </w:rPr>
    </w:lvl>
    <w:lvl w:ilvl="1" w:tplc="D3D4E8B2">
      <w:start w:val="1"/>
      <w:numFmt w:val="decimal"/>
      <w:lvlText w:val="(%2)"/>
      <w:lvlJc w:val="left"/>
      <w:pPr>
        <w:tabs>
          <w:tab w:val="num" w:pos="624"/>
        </w:tabs>
        <w:ind w:left="0" w:firstLine="0"/>
      </w:pPr>
      <w:rPr>
        <w:rFonts w:hint="default"/>
      </w:rPr>
    </w:lvl>
    <w:lvl w:ilvl="2" w:tplc="5D2AB1E4">
      <w:start w:val="1"/>
      <w:numFmt w:val="hebrew1"/>
      <w:lvlText w:val="(%3)"/>
      <w:lvlJc w:val="left"/>
      <w:pPr>
        <w:tabs>
          <w:tab w:val="num" w:pos="624"/>
        </w:tabs>
        <w:ind w:left="0" w:firstLine="0"/>
      </w:pPr>
      <w:rPr>
        <w:rFonts w:hint="default"/>
      </w:rPr>
    </w:lvl>
    <w:lvl w:ilvl="3" w:tplc="1F820BA4">
      <w:start w:val="1"/>
      <w:numFmt w:val="hebrew1"/>
      <w:lvlRestart w:val="0"/>
      <w:lvlText w:val="(%4)"/>
      <w:lvlJc w:val="left"/>
      <w:pPr>
        <w:tabs>
          <w:tab w:val="num" w:pos="624"/>
        </w:tabs>
        <w:ind w:left="0" w:firstLine="0"/>
      </w:pPr>
      <w:rPr>
        <w:rFonts w:hint="default"/>
      </w:rPr>
    </w:lvl>
    <w:lvl w:ilvl="4" w:tplc="62C6E096">
      <w:start w:val="1"/>
      <w:numFmt w:val="decimal"/>
      <w:lvlRestart w:val="0"/>
      <w:lvlText w:val="(%5)"/>
      <w:lvlJc w:val="left"/>
      <w:pPr>
        <w:tabs>
          <w:tab w:val="num" w:pos="3864"/>
        </w:tabs>
        <w:ind w:left="3240" w:firstLine="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3" w15:restartNumberingAfterBreak="0">
    <w:nsid w:val="75575F6E"/>
    <w:multiLevelType w:val="hybridMultilevel"/>
    <w:tmpl w:val="E9DC4B76"/>
    <w:lvl w:ilvl="0" w:tplc="B2EC974C">
      <w:start w:val="1"/>
      <w:numFmt w:val="decimal"/>
      <w:lvlText w:val="%1."/>
      <w:lvlJc w:val="left"/>
      <w:pPr>
        <w:ind w:left="465" w:hanging="360"/>
      </w:pPr>
      <w:rPr>
        <w:rFonts w:hint="default"/>
        <w:sz w:val="26"/>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54" w15:restartNumberingAfterBreak="0">
    <w:nsid w:val="778F0DBB"/>
    <w:multiLevelType w:val="hybridMultilevel"/>
    <w:tmpl w:val="03EA869A"/>
    <w:lvl w:ilvl="0" w:tplc="D70ED4B6">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9B55F85"/>
    <w:multiLevelType w:val="hybridMultilevel"/>
    <w:tmpl w:val="91388A2E"/>
    <w:lvl w:ilvl="0" w:tplc="6A0CE544">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3733E9"/>
    <w:multiLevelType w:val="hybridMultilevel"/>
    <w:tmpl w:val="5EB829A0"/>
    <w:lvl w:ilvl="0" w:tplc="E08E4856">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2"/>
  </w:num>
  <w:num w:numId="4">
    <w:abstractNumId w:val="41"/>
  </w:num>
  <w:num w:numId="5">
    <w:abstractNumId w:val="6"/>
  </w:num>
  <w:num w:numId="6">
    <w:abstractNumId w:val="33"/>
  </w:num>
  <w:num w:numId="7">
    <w:abstractNumId w:val="4"/>
  </w:num>
  <w:num w:numId="8">
    <w:abstractNumId w:val="32"/>
  </w:num>
  <w:num w:numId="9">
    <w:abstractNumId w:val="7"/>
  </w:num>
  <w:num w:numId="10">
    <w:abstractNumId w:val="19"/>
  </w:num>
  <w:num w:numId="11">
    <w:abstractNumId w:val="45"/>
  </w:num>
  <w:num w:numId="12">
    <w:abstractNumId w:val="10"/>
  </w:num>
  <w:num w:numId="13">
    <w:abstractNumId w:val="17"/>
  </w:num>
  <w:num w:numId="14">
    <w:abstractNumId w:val="16"/>
  </w:num>
  <w:num w:numId="15">
    <w:abstractNumId w:val="11"/>
  </w:num>
  <w:num w:numId="16">
    <w:abstractNumId w:val="29"/>
  </w:num>
  <w:num w:numId="17">
    <w:abstractNumId w:val="8"/>
  </w:num>
  <w:num w:numId="18">
    <w:abstractNumId w:val="15"/>
  </w:num>
  <w:num w:numId="19">
    <w:abstractNumId w:val="28"/>
  </w:num>
  <w:num w:numId="20">
    <w:abstractNumId w:val="36"/>
  </w:num>
  <w:num w:numId="21">
    <w:abstractNumId w:val="25"/>
  </w:num>
  <w:num w:numId="22">
    <w:abstractNumId w:val="9"/>
  </w:num>
  <w:num w:numId="23">
    <w:abstractNumId w:val="1"/>
  </w:num>
  <w:num w:numId="24">
    <w:abstractNumId w:val="26"/>
  </w:num>
  <w:num w:numId="25">
    <w:abstractNumId w:val="39"/>
  </w:num>
  <w:num w:numId="26">
    <w:abstractNumId w:val="18"/>
  </w:num>
  <w:num w:numId="27">
    <w:abstractNumId w:val="22"/>
  </w:num>
  <w:num w:numId="28">
    <w:abstractNumId w:val="43"/>
  </w:num>
  <w:num w:numId="29">
    <w:abstractNumId w:val="20"/>
  </w:num>
  <w:num w:numId="30">
    <w:abstractNumId w:val="0"/>
  </w:num>
  <w:num w:numId="31">
    <w:abstractNumId w:val="48"/>
  </w:num>
  <w:num w:numId="32">
    <w:abstractNumId w:val="13"/>
  </w:num>
  <w:num w:numId="33">
    <w:abstractNumId w:val="14"/>
  </w:num>
  <w:num w:numId="34">
    <w:abstractNumId w:val="38"/>
  </w:num>
  <w:num w:numId="35">
    <w:abstractNumId w:val="46"/>
  </w:num>
  <w:num w:numId="36">
    <w:abstractNumId w:val="56"/>
  </w:num>
  <w:num w:numId="37">
    <w:abstractNumId w:val="42"/>
  </w:num>
  <w:num w:numId="38">
    <w:abstractNumId w:val="55"/>
  </w:num>
  <w:num w:numId="39">
    <w:abstractNumId w:val="2"/>
  </w:num>
  <w:num w:numId="40">
    <w:abstractNumId w:val="54"/>
  </w:num>
  <w:num w:numId="41">
    <w:abstractNumId w:val="47"/>
  </w:num>
  <w:num w:numId="42">
    <w:abstractNumId w:val="44"/>
  </w:num>
  <w:num w:numId="43">
    <w:abstractNumId w:val="50"/>
  </w:num>
  <w:num w:numId="44">
    <w:abstractNumId w:val="30"/>
  </w:num>
  <w:num w:numId="45">
    <w:abstractNumId w:val="34"/>
  </w:num>
  <w:num w:numId="46">
    <w:abstractNumId w:val="40"/>
  </w:num>
  <w:num w:numId="47">
    <w:abstractNumId w:val="12"/>
  </w:num>
  <w:num w:numId="48">
    <w:abstractNumId w:val="27"/>
  </w:num>
  <w:num w:numId="49">
    <w:abstractNumId w:val="5"/>
  </w:num>
  <w:num w:numId="50">
    <w:abstractNumId w:val="24"/>
  </w:num>
  <w:num w:numId="51">
    <w:abstractNumId w:val="35"/>
  </w:num>
  <w:num w:numId="52">
    <w:abstractNumId w:val="23"/>
  </w:num>
  <w:num w:numId="5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1"/>
  </w:num>
  <w:num w:numId="55">
    <w:abstractNumId w:val="21"/>
  </w:num>
  <w:num w:numId="56">
    <w:abstractNumId w:val="53"/>
  </w:num>
  <w:num w:numId="57">
    <w:abstractNumId w:val="51"/>
  </w:num>
  <w:num w:numId="58">
    <w:abstractNumId w:val="49"/>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7EE8"/>
    <w:rsid w:val="000168D5"/>
    <w:rsid w:val="00016C99"/>
    <w:rsid w:val="0002257B"/>
    <w:rsid w:val="00022C15"/>
    <w:rsid w:val="00024FAA"/>
    <w:rsid w:val="00030348"/>
    <w:rsid w:val="000325E1"/>
    <w:rsid w:val="00032F1A"/>
    <w:rsid w:val="00037CB4"/>
    <w:rsid w:val="00044CE0"/>
    <w:rsid w:val="000453C6"/>
    <w:rsid w:val="000455EB"/>
    <w:rsid w:val="00046741"/>
    <w:rsid w:val="0005076E"/>
    <w:rsid w:val="00051349"/>
    <w:rsid w:val="00051B68"/>
    <w:rsid w:val="000528C8"/>
    <w:rsid w:val="00055F94"/>
    <w:rsid w:val="0007229A"/>
    <w:rsid w:val="00081A80"/>
    <w:rsid w:val="000838FB"/>
    <w:rsid w:val="0009166F"/>
    <w:rsid w:val="00094C4E"/>
    <w:rsid w:val="00096839"/>
    <w:rsid w:val="00096878"/>
    <w:rsid w:val="000A10D4"/>
    <w:rsid w:val="000A49A4"/>
    <w:rsid w:val="000A70C2"/>
    <w:rsid w:val="000B0030"/>
    <w:rsid w:val="000B2293"/>
    <w:rsid w:val="000B43F3"/>
    <w:rsid w:val="000B5E3D"/>
    <w:rsid w:val="000D0296"/>
    <w:rsid w:val="000D480F"/>
    <w:rsid w:val="000E5D1B"/>
    <w:rsid w:val="000F0857"/>
    <w:rsid w:val="000F0C37"/>
    <w:rsid w:val="000F7145"/>
    <w:rsid w:val="00106E1C"/>
    <w:rsid w:val="0011042A"/>
    <w:rsid w:val="001107F2"/>
    <w:rsid w:val="00113062"/>
    <w:rsid w:val="001145FE"/>
    <w:rsid w:val="00117B7E"/>
    <w:rsid w:val="00126739"/>
    <w:rsid w:val="00134A38"/>
    <w:rsid w:val="001412CA"/>
    <w:rsid w:val="0014448A"/>
    <w:rsid w:val="00166A61"/>
    <w:rsid w:val="00180DB7"/>
    <w:rsid w:val="0018303D"/>
    <w:rsid w:val="00187428"/>
    <w:rsid w:val="001947FC"/>
    <w:rsid w:val="001A2744"/>
    <w:rsid w:val="001B1EF8"/>
    <w:rsid w:val="001C0319"/>
    <w:rsid w:val="001C163E"/>
    <w:rsid w:val="001C184E"/>
    <w:rsid w:val="001D5985"/>
    <w:rsid w:val="001E1612"/>
    <w:rsid w:val="001F30CC"/>
    <w:rsid w:val="0020196E"/>
    <w:rsid w:val="002055EA"/>
    <w:rsid w:val="00206400"/>
    <w:rsid w:val="002163B9"/>
    <w:rsid w:val="00223846"/>
    <w:rsid w:val="0022539A"/>
    <w:rsid w:val="00242546"/>
    <w:rsid w:val="00246900"/>
    <w:rsid w:val="00263665"/>
    <w:rsid w:val="00267223"/>
    <w:rsid w:val="002678E3"/>
    <w:rsid w:val="002764EE"/>
    <w:rsid w:val="00281AEB"/>
    <w:rsid w:val="00283512"/>
    <w:rsid w:val="002849C5"/>
    <w:rsid w:val="002916C0"/>
    <w:rsid w:val="002952E4"/>
    <w:rsid w:val="00295FB0"/>
    <w:rsid w:val="002A34ED"/>
    <w:rsid w:val="002A5621"/>
    <w:rsid w:val="002B0538"/>
    <w:rsid w:val="002B5B9A"/>
    <w:rsid w:val="002C47BC"/>
    <w:rsid w:val="002D01EE"/>
    <w:rsid w:val="002D375E"/>
    <w:rsid w:val="002E532D"/>
    <w:rsid w:val="002E5B42"/>
    <w:rsid w:val="002E76E6"/>
    <w:rsid w:val="002F190D"/>
    <w:rsid w:val="002F2B17"/>
    <w:rsid w:val="00300312"/>
    <w:rsid w:val="003078D7"/>
    <w:rsid w:val="003127B4"/>
    <w:rsid w:val="00314095"/>
    <w:rsid w:val="0031666E"/>
    <w:rsid w:val="003168ED"/>
    <w:rsid w:val="00317D58"/>
    <w:rsid w:val="00325F22"/>
    <w:rsid w:val="00326051"/>
    <w:rsid w:val="00330392"/>
    <w:rsid w:val="003304F3"/>
    <w:rsid w:val="00333B45"/>
    <w:rsid w:val="00345611"/>
    <w:rsid w:val="00347EE8"/>
    <w:rsid w:val="00352B8A"/>
    <w:rsid w:val="00354DC1"/>
    <w:rsid w:val="00355703"/>
    <w:rsid w:val="003710E5"/>
    <w:rsid w:val="003719A8"/>
    <w:rsid w:val="0037775B"/>
    <w:rsid w:val="00383F7B"/>
    <w:rsid w:val="00386000"/>
    <w:rsid w:val="00391540"/>
    <w:rsid w:val="003918F0"/>
    <w:rsid w:val="003A0FAE"/>
    <w:rsid w:val="003A118B"/>
    <w:rsid w:val="003A1E60"/>
    <w:rsid w:val="003A65D3"/>
    <w:rsid w:val="003C76CC"/>
    <w:rsid w:val="003C7BC9"/>
    <w:rsid w:val="003D1CB6"/>
    <w:rsid w:val="003D514E"/>
    <w:rsid w:val="003D7A20"/>
    <w:rsid w:val="003E2A36"/>
    <w:rsid w:val="003F3750"/>
    <w:rsid w:val="004055B5"/>
    <w:rsid w:val="0040598D"/>
    <w:rsid w:val="00416A78"/>
    <w:rsid w:val="00417EBC"/>
    <w:rsid w:val="004233F3"/>
    <w:rsid w:val="004236A4"/>
    <w:rsid w:val="00433FB6"/>
    <w:rsid w:val="004369CF"/>
    <w:rsid w:val="00442277"/>
    <w:rsid w:val="00445CA5"/>
    <w:rsid w:val="0046203D"/>
    <w:rsid w:val="00463860"/>
    <w:rsid w:val="00473385"/>
    <w:rsid w:val="00477B73"/>
    <w:rsid w:val="00485CC2"/>
    <w:rsid w:val="00491D51"/>
    <w:rsid w:val="004A2ABD"/>
    <w:rsid w:val="004A4742"/>
    <w:rsid w:val="004E3C8F"/>
    <w:rsid w:val="004F0F68"/>
    <w:rsid w:val="004F1F5C"/>
    <w:rsid w:val="00501E87"/>
    <w:rsid w:val="005066C8"/>
    <w:rsid w:val="00507C4A"/>
    <w:rsid w:val="00511640"/>
    <w:rsid w:val="00511D26"/>
    <w:rsid w:val="00511DF3"/>
    <w:rsid w:val="00535660"/>
    <w:rsid w:val="005400BC"/>
    <w:rsid w:val="00542C01"/>
    <w:rsid w:val="0054394A"/>
    <w:rsid w:val="005504D9"/>
    <w:rsid w:val="00550E4D"/>
    <w:rsid w:val="00553E6D"/>
    <w:rsid w:val="00557F25"/>
    <w:rsid w:val="00560067"/>
    <w:rsid w:val="00561C2F"/>
    <w:rsid w:val="00564B49"/>
    <w:rsid w:val="00572408"/>
    <w:rsid w:val="00575A9D"/>
    <w:rsid w:val="005771D1"/>
    <w:rsid w:val="00577AB6"/>
    <w:rsid w:val="00580635"/>
    <w:rsid w:val="00584E8A"/>
    <w:rsid w:val="00592FB9"/>
    <w:rsid w:val="00596411"/>
    <w:rsid w:val="005A18B1"/>
    <w:rsid w:val="005A1F39"/>
    <w:rsid w:val="005A2AD0"/>
    <w:rsid w:val="005A6F92"/>
    <w:rsid w:val="005B3640"/>
    <w:rsid w:val="005B4582"/>
    <w:rsid w:val="005B4A40"/>
    <w:rsid w:val="005C1514"/>
    <w:rsid w:val="005C35CB"/>
    <w:rsid w:val="005C3D48"/>
    <w:rsid w:val="005C6176"/>
    <w:rsid w:val="005C67F7"/>
    <w:rsid w:val="005D11E4"/>
    <w:rsid w:val="005D2CDA"/>
    <w:rsid w:val="005D4FDA"/>
    <w:rsid w:val="005E72AF"/>
    <w:rsid w:val="006057AD"/>
    <w:rsid w:val="00614AA6"/>
    <w:rsid w:val="00616CD4"/>
    <w:rsid w:val="00625D92"/>
    <w:rsid w:val="00635803"/>
    <w:rsid w:val="00636F27"/>
    <w:rsid w:val="006660CC"/>
    <w:rsid w:val="00676EEF"/>
    <w:rsid w:val="006810ED"/>
    <w:rsid w:val="006814B4"/>
    <w:rsid w:val="00692C36"/>
    <w:rsid w:val="00696156"/>
    <w:rsid w:val="006977AD"/>
    <w:rsid w:val="00697AEA"/>
    <w:rsid w:val="006A1123"/>
    <w:rsid w:val="006A23C4"/>
    <w:rsid w:val="006A26AA"/>
    <w:rsid w:val="006A3965"/>
    <w:rsid w:val="006A5579"/>
    <w:rsid w:val="006A7B80"/>
    <w:rsid w:val="006B18EA"/>
    <w:rsid w:val="006B3D9F"/>
    <w:rsid w:val="006B5E05"/>
    <w:rsid w:val="006C12A1"/>
    <w:rsid w:val="006D1606"/>
    <w:rsid w:val="006D4373"/>
    <w:rsid w:val="006D783F"/>
    <w:rsid w:val="006D7E37"/>
    <w:rsid w:val="006F116D"/>
    <w:rsid w:val="006F5622"/>
    <w:rsid w:val="006F57EE"/>
    <w:rsid w:val="00700F01"/>
    <w:rsid w:val="00711418"/>
    <w:rsid w:val="00714A8B"/>
    <w:rsid w:val="0073297C"/>
    <w:rsid w:val="00733D8E"/>
    <w:rsid w:val="0073507D"/>
    <w:rsid w:val="0075028B"/>
    <w:rsid w:val="0075669B"/>
    <w:rsid w:val="007569AD"/>
    <w:rsid w:val="00756B19"/>
    <w:rsid w:val="007574BA"/>
    <w:rsid w:val="00766621"/>
    <w:rsid w:val="00783757"/>
    <w:rsid w:val="007858C8"/>
    <w:rsid w:val="007915CF"/>
    <w:rsid w:val="00793D14"/>
    <w:rsid w:val="007B09A1"/>
    <w:rsid w:val="007B4750"/>
    <w:rsid w:val="007C1B1B"/>
    <w:rsid w:val="007C401D"/>
    <w:rsid w:val="007D06E6"/>
    <w:rsid w:val="007D1232"/>
    <w:rsid w:val="007D6E2B"/>
    <w:rsid w:val="007F14BD"/>
    <w:rsid w:val="00801C06"/>
    <w:rsid w:val="00805BD3"/>
    <w:rsid w:val="008070DE"/>
    <w:rsid w:val="0081115E"/>
    <w:rsid w:val="00814669"/>
    <w:rsid w:val="00814901"/>
    <w:rsid w:val="0082002F"/>
    <w:rsid w:val="00821694"/>
    <w:rsid w:val="008218F2"/>
    <w:rsid w:val="00822914"/>
    <w:rsid w:val="00824957"/>
    <w:rsid w:val="00826A07"/>
    <w:rsid w:val="00847F4E"/>
    <w:rsid w:val="008524DB"/>
    <w:rsid w:val="00854AB2"/>
    <w:rsid w:val="0085558B"/>
    <w:rsid w:val="00871987"/>
    <w:rsid w:val="00875D5B"/>
    <w:rsid w:val="00885916"/>
    <w:rsid w:val="008920B3"/>
    <w:rsid w:val="008A0329"/>
    <w:rsid w:val="008A0989"/>
    <w:rsid w:val="008C7715"/>
    <w:rsid w:val="008D1228"/>
    <w:rsid w:val="008D21BA"/>
    <w:rsid w:val="008E4817"/>
    <w:rsid w:val="008E4ED2"/>
    <w:rsid w:val="008F4092"/>
    <w:rsid w:val="008F60E2"/>
    <w:rsid w:val="008F7D99"/>
    <w:rsid w:val="00903752"/>
    <w:rsid w:val="00904E29"/>
    <w:rsid w:val="00905768"/>
    <w:rsid w:val="00915077"/>
    <w:rsid w:val="00957C00"/>
    <w:rsid w:val="0096171E"/>
    <w:rsid w:val="00970570"/>
    <w:rsid w:val="00980D6D"/>
    <w:rsid w:val="0099383F"/>
    <w:rsid w:val="00994E5D"/>
    <w:rsid w:val="009977FC"/>
    <w:rsid w:val="009A67EE"/>
    <w:rsid w:val="009A7295"/>
    <w:rsid w:val="009C5040"/>
    <w:rsid w:val="009C674E"/>
    <w:rsid w:val="009D08E7"/>
    <w:rsid w:val="009D380B"/>
    <w:rsid w:val="009E0DA3"/>
    <w:rsid w:val="009E1209"/>
    <w:rsid w:val="009E1D3F"/>
    <w:rsid w:val="009E3D5A"/>
    <w:rsid w:val="009F12AD"/>
    <w:rsid w:val="00A05B81"/>
    <w:rsid w:val="00A12379"/>
    <w:rsid w:val="00A17352"/>
    <w:rsid w:val="00A21B3D"/>
    <w:rsid w:val="00A31578"/>
    <w:rsid w:val="00A33942"/>
    <w:rsid w:val="00A40AE3"/>
    <w:rsid w:val="00A4121B"/>
    <w:rsid w:val="00A42D06"/>
    <w:rsid w:val="00A43AB8"/>
    <w:rsid w:val="00A44BE9"/>
    <w:rsid w:val="00A453B8"/>
    <w:rsid w:val="00A50484"/>
    <w:rsid w:val="00A60032"/>
    <w:rsid w:val="00A64430"/>
    <w:rsid w:val="00A6517B"/>
    <w:rsid w:val="00A66D30"/>
    <w:rsid w:val="00A67DE0"/>
    <w:rsid w:val="00A759FA"/>
    <w:rsid w:val="00A763EC"/>
    <w:rsid w:val="00A80E71"/>
    <w:rsid w:val="00A84075"/>
    <w:rsid w:val="00A849F8"/>
    <w:rsid w:val="00A86F40"/>
    <w:rsid w:val="00A91FD4"/>
    <w:rsid w:val="00AA770F"/>
    <w:rsid w:val="00AB2835"/>
    <w:rsid w:val="00AB3999"/>
    <w:rsid w:val="00AB7C99"/>
    <w:rsid w:val="00AC35DC"/>
    <w:rsid w:val="00AC3FF5"/>
    <w:rsid w:val="00AD1F46"/>
    <w:rsid w:val="00AE1D78"/>
    <w:rsid w:val="00AE4033"/>
    <w:rsid w:val="00AE458F"/>
    <w:rsid w:val="00AF0A79"/>
    <w:rsid w:val="00AF299F"/>
    <w:rsid w:val="00AF5939"/>
    <w:rsid w:val="00AF594E"/>
    <w:rsid w:val="00B00EBD"/>
    <w:rsid w:val="00B060AB"/>
    <w:rsid w:val="00B102E3"/>
    <w:rsid w:val="00B1193D"/>
    <w:rsid w:val="00B15FDE"/>
    <w:rsid w:val="00B17D59"/>
    <w:rsid w:val="00B209E2"/>
    <w:rsid w:val="00B218AC"/>
    <w:rsid w:val="00B2404F"/>
    <w:rsid w:val="00B27B22"/>
    <w:rsid w:val="00B358DE"/>
    <w:rsid w:val="00B46053"/>
    <w:rsid w:val="00B47367"/>
    <w:rsid w:val="00B51C1F"/>
    <w:rsid w:val="00B56124"/>
    <w:rsid w:val="00B62EAC"/>
    <w:rsid w:val="00B65CC8"/>
    <w:rsid w:val="00B67B6E"/>
    <w:rsid w:val="00B71DEB"/>
    <w:rsid w:val="00B726BA"/>
    <w:rsid w:val="00B7683B"/>
    <w:rsid w:val="00BA2C76"/>
    <w:rsid w:val="00BA5CDB"/>
    <w:rsid w:val="00BA682A"/>
    <w:rsid w:val="00BB0294"/>
    <w:rsid w:val="00BB4509"/>
    <w:rsid w:val="00BB7188"/>
    <w:rsid w:val="00BC336E"/>
    <w:rsid w:val="00BC3631"/>
    <w:rsid w:val="00BC547E"/>
    <w:rsid w:val="00BD0A13"/>
    <w:rsid w:val="00BD14EC"/>
    <w:rsid w:val="00BD4764"/>
    <w:rsid w:val="00BD510E"/>
    <w:rsid w:val="00BD6AA0"/>
    <w:rsid w:val="00BE2308"/>
    <w:rsid w:val="00BE40BA"/>
    <w:rsid w:val="00BE59BA"/>
    <w:rsid w:val="00BF42F4"/>
    <w:rsid w:val="00C14E3E"/>
    <w:rsid w:val="00C1586F"/>
    <w:rsid w:val="00C23AD8"/>
    <w:rsid w:val="00C24584"/>
    <w:rsid w:val="00C35E81"/>
    <w:rsid w:val="00C36426"/>
    <w:rsid w:val="00C3775F"/>
    <w:rsid w:val="00C405F8"/>
    <w:rsid w:val="00C42AFA"/>
    <w:rsid w:val="00C50BB6"/>
    <w:rsid w:val="00C51778"/>
    <w:rsid w:val="00C538D5"/>
    <w:rsid w:val="00C55F16"/>
    <w:rsid w:val="00C56335"/>
    <w:rsid w:val="00C566C0"/>
    <w:rsid w:val="00C61E0B"/>
    <w:rsid w:val="00C61F7F"/>
    <w:rsid w:val="00C654B9"/>
    <w:rsid w:val="00C72720"/>
    <w:rsid w:val="00C80FC0"/>
    <w:rsid w:val="00C819C6"/>
    <w:rsid w:val="00C8372E"/>
    <w:rsid w:val="00C850B1"/>
    <w:rsid w:val="00C93CB2"/>
    <w:rsid w:val="00C965C0"/>
    <w:rsid w:val="00CA57EB"/>
    <w:rsid w:val="00CA7356"/>
    <w:rsid w:val="00CB04E1"/>
    <w:rsid w:val="00CB5BC3"/>
    <w:rsid w:val="00CB716D"/>
    <w:rsid w:val="00CC6429"/>
    <w:rsid w:val="00CC7793"/>
    <w:rsid w:val="00CD0313"/>
    <w:rsid w:val="00CD089D"/>
    <w:rsid w:val="00CE252A"/>
    <w:rsid w:val="00CE2813"/>
    <w:rsid w:val="00CE6047"/>
    <w:rsid w:val="00CE6AC6"/>
    <w:rsid w:val="00CE711D"/>
    <w:rsid w:val="00D045B8"/>
    <w:rsid w:val="00D126B1"/>
    <w:rsid w:val="00D141ED"/>
    <w:rsid w:val="00D1530F"/>
    <w:rsid w:val="00D166E0"/>
    <w:rsid w:val="00D17F90"/>
    <w:rsid w:val="00D215DE"/>
    <w:rsid w:val="00D22075"/>
    <w:rsid w:val="00D26F5E"/>
    <w:rsid w:val="00D322D9"/>
    <w:rsid w:val="00D32B47"/>
    <w:rsid w:val="00D36215"/>
    <w:rsid w:val="00D43518"/>
    <w:rsid w:val="00D63DF5"/>
    <w:rsid w:val="00D67425"/>
    <w:rsid w:val="00D67B91"/>
    <w:rsid w:val="00D7562F"/>
    <w:rsid w:val="00D83BB6"/>
    <w:rsid w:val="00D858FB"/>
    <w:rsid w:val="00D86D18"/>
    <w:rsid w:val="00D90C8A"/>
    <w:rsid w:val="00D91BF1"/>
    <w:rsid w:val="00DA4130"/>
    <w:rsid w:val="00DB3DFD"/>
    <w:rsid w:val="00DB421B"/>
    <w:rsid w:val="00DD426D"/>
    <w:rsid w:val="00DE15D2"/>
    <w:rsid w:val="00DE3469"/>
    <w:rsid w:val="00DF30C4"/>
    <w:rsid w:val="00DF497F"/>
    <w:rsid w:val="00DF6AB9"/>
    <w:rsid w:val="00E07A74"/>
    <w:rsid w:val="00E12C14"/>
    <w:rsid w:val="00E15BF3"/>
    <w:rsid w:val="00E20E07"/>
    <w:rsid w:val="00E268AE"/>
    <w:rsid w:val="00E31525"/>
    <w:rsid w:val="00E333DF"/>
    <w:rsid w:val="00E572A9"/>
    <w:rsid w:val="00E619CC"/>
    <w:rsid w:val="00E7141D"/>
    <w:rsid w:val="00E72965"/>
    <w:rsid w:val="00E749BA"/>
    <w:rsid w:val="00E76743"/>
    <w:rsid w:val="00E770F8"/>
    <w:rsid w:val="00E8646A"/>
    <w:rsid w:val="00E915A9"/>
    <w:rsid w:val="00EA1E58"/>
    <w:rsid w:val="00EB148E"/>
    <w:rsid w:val="00EC0181"/>
    <w:rsid w:val="00EC0495"/>
    <w:rsid w:val="00EC51E5"/>
    <w:rsid w:val="00ED202B"/>
    <w:rsid w:val="00ED3A45"/>
    <w:rsid w:val="00ED7C68"/>
    <w:rsid w:val="00EE423F"/>
    <w:rsid w:val="00EF7F4A"/>
    <w:rsid w:val="00F00934"/>
    <w:rsid w:val="00F12636"/>
    <w:rsid w:val="00F139D4"/>
    <w:rsid w:val="00F2093D"/>
    <w:rsid w:val="00F23CA3"/>
    <w:rsid w:val="00F25BFC"/>
    <w:rsid w:val="00F31343"/>
    <w:rsid w:val="00F336A8"/>
    <w:rsid w:val="00F432F5"/>
    <w:rsid w:val="00F46949"/>
    <w:rsid w:val="00F50333"/>
    <w:rsid w:val="00F51713"/>
    <w:rsid w:val="00F519AF"/>
    <w:rsid w:val="00F52523"/>
    <w:rsid w:val="00F52A78"/>
    <w:rsid w:val="00F56E5A"/>
    <w:rsid w:val="00F71B8A"/>
    <w:rsid w:val="00FA165A"/>
    <w:rsid w:val="00FA4AD2"/>
    <w:rsid w:val="00FB2949"/>
    <w:rsid w:val="00FC1E4A"/>
    <w:rsid w:val="00FC532B"/>
    <w:rsid w:val="00FD1B86"/>
    <w:rsid w:val="00FE1884"/>
    <w:rsid w:val="00FE69B4"/>
    <w:rsid w:val="00FF570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5181B74"/>
  <w15:chartTrackingRefBased/>
  <w15:docId w15:val="{59032A72-4FF9-4ADA-891A-56D41268F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David"/>
        <w:sz w:val="22"/>
        <w:szCs w:val="24"/>
        <w:lang w:val="en-US" w:eastAsia="en-US" w:bidi="he-IL"/>
      </w:rPr>
    </w:rPrDefault>
    <w:pPrDefault>
      <w:pPr>
        <w:spacing w:after="12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qFormat="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682A"/>
    <w:pPr>
      <w:widowControl w:val="0"/>
      <w:bidi/>
      <w:spacing w:after="0" w:line="360" w:lineRule="auto"/>
      <w:ind w:left="340"/>
      <w:contextualSpacing/>
      <w:jc w:val="both"/>
    </w:pPr>
    <w:rPr>
      <w:rFonts w:ascii="David" w:hAnsi="David"/>
      <w:sz w:val="24"/>
    </w:rPr>
  </w:style>
  <w:style w:type="paragraph" w:styleId="1">
    <w:name w:val="heading 1"/>
    <w:basedOn w:val="a"/>
    <w:next w:val="a"/>
    <w:link w:val="10"/>
    <w:uiPriority w:val="9"/>
    <w:qFormat/>
    <w:rsid w:val="00BA682A"/>
    <w:pPr>
      <w:keepNext/>
      <w:keepLines/>
      <w:spacing w:before="240"/>
      <w:jc w:val="center"/>
      <w:outlineLvl w:val="0"/>
    </w:pPr>
    <w:rPr>
      <w:rFonts w:asciiTheme="majorHAnsi" w:eastAsiaTheme="majorEastAsia" w:hAnsiTheme="majorHAnsi"/>
      <w:bCs/>
      <w:sz w:val="32"/>
      <w:szCs w:val="36"/>
    </w:rPr>
  </w:style>
  <w:style w:type="paragraph" w:styleId="2">
    <w:name w:val="heading 2"/>
    <w:basedOn w:val="a"/>
    <w:next w:val="a"/>
    <w:link w:val="20"/>
    <w:unhideWhenUsed/>
    <w:qFormat/>
    <w:rsid w:val="00BA682A"/>
    <w:pPr>
      <w:ind w:left="0"/>
      <w:jc w:val="left"/>
      <w:outlineLvl w:val="1"/>
    </w:pPr>
    <w:rPr>
      <w:rFonts w:asciiTheme="majorHAnsi" w:eastAsiaTheme="majorEastAsia" w:hAnsiTheme="majorHAnsi"/>
      <w:bCs/>
      <w:sz w:val="26"/>
      <w:szCs w:val="36"/>
      <w:u w:val="single"/>
    </w:rPr>
  </w:style>
  <w:style w:type="paragraph" w:styleId="3">
    <w:name w:val="heading 3"/>
    <w:basedOn w:val="a"/>
    <w:next w:val="a"/>
    <w:link w:val="30"/>
    <w:unhideWhenUsed/>
    <w:qFormat/>
    <w:rsid w:val="00BA682A"/>
    <w:pPr>
      <w:spacing w:before="40"/>
      <w:ind w:left="0"/>
      <w:jc w:val="left"/>
      <w:outlineLvl w:val="2"/>
    </w:pPr>
    <w:rPr>
      <w:rFonts w:asciiTheme="majorHAnsi" w:eastAsiaTheme="majorEastAsia" w:hAnsiTheme="majorHAnsi"/>
      <w:szCs w:val="28"/>
      <w:u w:val="double"/>
    </w:rPr>
  </w:style>
  <w:style w:type="paragraph" w:styleId="4">
    <w:name w:val="heading 4"/>
    <w:basedOn w:val="a"/>
    <w:next w:val="a"/>
    <w:link w:val="40"/>
    <w:uiPriority w:val="9"/>
    <w:unhideWhenUsed/>
    <w:qFormat/>
    <w:rsid w:val="00BA682A"/>
    <w:pPr>
      <w:numPr>
        <w:numId w:val="1"/>
      </w:numPr>
      <w:spacing w:before="40" w:after="120"/>
      <w:outlineLvl w:val="3"/>
    </w:pPr>
    <w:rPr>
      <w:b/>
      <w:bCs/>
      <w:color w:val="000000" w:themeColor="text1"/>
      <w:szCs w:val="28"/>
    </w:rPr>
  </w:style>
  <w:style w:type="paragraph" w:styleId="5">
    <w:name w:val="heading 5"/>
    <w:basedOn w:val="a"/>
    <w:next w:val="a"/>
    <w:link w:val="50"/>
    <w:uiPriority w:val="9"/>
    <w:unhideWhenUsed/>
    <w:qFormat/>
    <w:rsid w:val="00BA682A"/>
    <w:pPr>
      <w:spacing w:line="259" w:lineRule="auto"/>
      <w:outlineLvl w:val="4"/>
    </w:pPr>
    <w:rPr>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LP1,List Paragraph_0,List Paragraph_1,LP11,List Paragraph_01,List Paragraph_11,LP12,List Paragraph_02,List Paragraph_12,LP13,List Paragraph_03,List Paragraph_13,LP111,List Paragraph_011,List Paragraph_111,LP121,List Paragraph_021,LP14,LP112"/>
    <w:basedOn w:val="a"/>
    <w:link w:val="a4"/>
    <w:uiPriority w:val="34"/>
    <w:qFormat/>
    <w:rsid w:val="00BA682A"/>
    <w:pPr>
      <w:widowControl/>
      <w:spacing w:line="259" w:lineRule="auto"/>
    </w:pPr>
    <w:rPr>
      <w:rFonts w:asciiTheme="minorHAnsi" w:hAnsiTheme="minorHAnsi"/>
      <w:sz w:val="22"/>
    </w:rPr>
  </w:style>
  <w:style w:type="character" w:customStyle="1" w:styleId="10">
    <w:name w:val="כותרת 1 תו"/>
    <w:basedOn w:val="a0"/>
    <w:link w:val="1"/>
    <w:uiPriority w:val="9"/>
    <w:rsid w:val="00BA682A"/>
    <w:rPr>
      <w:rFonts w:asciiTheme="majorHAnsi" w:eastAsiaTheme="majorEastAsia" w:hAnsiTheme="majorHAnsi"/>
      <w:bCs/>
      <w:sz w:val="32"/>
      <w:szCs w:val="36"/>
    </w:rPr>
  </w:style>
  <w:style w:type="character" w:customStyle="1" w:styleId="40">
    <w:name w:val="כותרת 4 תו"/>
    <w:basedOn w:val="a0"/>
    <w:link w:val="4"/>
    <w:uiPriority w:val="9"/>
    <w:rsid w:val="00BA682A"/>
    <w:rPr>
      <w:rFonts w:ascii="David" w:hAnsi="David"/>
      <w:b/>
      <w:bCs/>
      <w:color w:val="000000" w:themeColor="text1"/>
      <w:sz w:val="24"/>
      <w:szCs w:val="28"/>
    </w:rPr>
  </w:style>
  <w:style w:type="paragraph" w:customStyle="1" w:styleId="TableText">
    <w:name w:val="Table Text"/>
    <w:basedOn w:val="a"/>
    <w:rsid w:val="00BA682A"/>
    <w:pPr>
      <w:keepLines/>
      <w:tabs>
        <w:tab w:val="left" w:pos="624"/>
        <w:tab w:val="left" w:pos="1247"/>
      </w:tabs>
      <w:snapToGrid w:val="0"/>
      <w:ind w:left="0"/>
      <w:jc w:val="left"/>
    </w:pPr>
    <w:rPr>
      <w:rFonts w:ascii="Arial" w:eastAsia="Arial Unicode MS" w:hAnsi="Arial"/>
      <w:snapToGrid w:val="0"/>
      <w:sz w:val="20"/>
      <w:szCs w:val="26"/>
    </w:rPr>
  </w:style>
  <w:style w:type="paragraph" w:customStyle="1" w:styleId="TableSideHeading">
    <w:name w:val="Table SideHeading"/>
    <w:basedOn w:val="TableText"/>
    <w:rsid w:val="00BA682A"/>
    <w:pPr>
      <w:outlineLvl w:val="2"/>
    </w:pPr>
  </w:style>
  <w:style w:type="paragraph" w:customStyle="1" w:styleId="TableBlock">
    <w:name w:val="Table Block"/>
    <w:basedOn w:val="TableText"/>
    <w:link w:val="TableBlock0"/>
    <w:rsid w:val="00BA682A"/>
    <w:pPr>
      <w:jc w:val="both"/>
    </w:pPr>
  </w:style>
  <w:style w:type="paragraph" w:customStyle="1" w:styleId="TableHead">
    <w:name w:val="Table Head"/>
    <w:basedOn w:val="TableText"/>
    <w:rsid w:val="00BA682A"/>
    <w:pPr>
      <w:jc w:val="center"/>
      <w:outlineLvl w:val="1"/>
    </w:pPr>
    <w:rPr>
      <w:b/>
      <w:bCs/>
    </w:rPr>
  </w:style>
  <w:style w:type="paragraph" w:customStyle="1" w:styleId="HeadMitparsemetBaze">
    <w:name w:val="Head MitparsemetBaze"/>
    <w:basedOn w:val="a"/>
    <w:rsid w:val="00BA682A"/>
    <w:pPr>
      <w:keepNext/>
      <w:keepLines/>
      <w:pageBreakBefore/>
      <w:snapToGrid w:val="0"/>
      <w:spacing w:before="480"/>
    </w:pPr>
    <w:rPr>
      <w:rFonts w:ascii="Arial" w:eastAsia="Arial Unicode MS" w:hAnsi="Arial"/>
      <w:b/>
      <w:bCs/>
      <w:snapToGrid w:val="0"/>
      <w:sz w:val="20"/>
      <w:szCs w:val="26"/>
    </w:rPr>
  </w:style>
  <w:style w:type="paragraph" w:customStyle="1" w:styleId="HeadHatzaotHok">
    <w:name w:val="Head HatzaotHok"/>
    <w:basedOn w:val="a"/>
    <w:rsid w:val="00BA682A"/>
    <w:pPr>
      <w:keepNext/>
      <w:keepLines/>
      <w:snapToGrid w:val="0"/>
      <w:spacing w:before="240"/>
      <w:jc w:val="center"/>
      <w:outlineLvl w:val="0"/>
    </w:pPr>
    <w:rPr>
      <w:rFonts w:ascii="Arial" w:eastAsia="Arial Unicode MS" w:hAnsi="Arial"/>
      <w:b/>
      <w:bCs/>
      <w:snapToGrid w:val="0"/>
      <w:sz w:val="20"/>
      <w:szCs w:val="26"/>
    </w:rPr>
  </w:style>
  <w:style w:type="paragraph" w:customStyle="1" w:styleId="Hesber1st">
    <w:name w:val="Hesber 1st"/>
    <w:basedOn w:val="Hesber"/>
    <w:rsid w:val="00BA682A"/>
    <w:pPr>
      <w:tabs>
        <w:tab w:val="left" w:pos="680"/>
        <w:tab w:val="left" w:pos="1020"/>
      </w:tabs>
      <w:ind w:firstLine="0"/>
    </w:pPr>
  </w:style>
  <w:style w:type="paragraph" w:customStyle="1" w:styleId="HeadDivreiHesber">
    <w:name w:val="Head DivreiHesber"/>
    <w:basedOn w:val="a"/>
    <w:rsid w:val="00BA682A"/>
    <w:pPr>
      <w:snapToGrid w:val="0"/>
      <w:spacing w:before="360" w:after="120"/>
      <w:jc w:val="center"/>
      <w:outlineLvl w:val="1"/>
    </w:pPr>
    <w:rPr>
      <w:rFonts w:ascii="Arial" w:eastAsia="Arial Unicode MS" w:hAnsi="Arial"/>
      <w:b/>
      <w:snapToGrid w:val="0"/>
      <w:spacing w:val="40"/>
      <w:sz w:val="20"/>
      <w:szCs w:val="26"/>
    </w:rPr>
  </w:style>
  <w:style w:type="character" w:customStyle="1" w:styleId="20">
    <w:name w:val="כותרת 2 תו"/>
    <w:basedOn w:val="a0"/>
    <w:link w:val="2"/>
    <w:rsid w:val="00BA682A"/>
    <w:rPr>
      <w:rFonts w:asciiTheme="majorHAnsi" w:eastAsiaTheme="majorEastAsia" w:hAnsiTheme="majorHAnsi"/>
      <w:bCs/>
      <w:sz w:val="26"/>
      <w:szCs w:val="36"/>
      <w:u w:val="single"/>
    </w:rPr>
  </w:style>
  <w:style w:type="character" w:customStyle="1" w:styleId="30">
    <w:name w:val="כותרת 3 תו"/>
    <w:basedOn w:val="a0"/>
    <w:link w:val="3"/>
    <w:rsid w:val="00BA682A"/>
    <w:rPr>
      <w:rFonts w:asciiTheme="majorHAnsi" w:eastAsiaTheme="majorEastAsia" w:hAnsiTheme="majorHAnsi"/>
      <w:sz w:val="24"/>
      <w:szCs w:val="28"/>
      <w:u w:val="double"/>
    </w:rPr>
  </w:style>
  <w:style w:type="character" w:customStyle="1" w:styleId="50">
    <w:name w:val="כותרת 5 תו"/>
    <w:basedOn w:val="a0"/>
    <w:link w:val="5"/>
    <w:uiPriority w:val="9"/>
    <w:rsid w:val="00BA682A"/>
    <w:rPr>
      <w:rFonts w:ascii="David" w:hAnsi="David"/>
      <w:color w:val="000000" w:themeColor="text1"/>
      <w:sz w:val="24"/>
    </w:rPr>
  </w:style>
  <w:style w:type="paragraph" w:customStyle="1" w:styleId="HeadHatzaotHok4Futer">
    <w:name w:val="Head HatzaotHok4Futer"/>
    <w:basedOn w:val="HeadHatzaotHok"/>
    <w:rsid w:val="00BA682A"/>
    <w:pPr>
      <w:spacing w:before="120" w:after="120"/>
    </w:pPr>
    <w:rPr>
      <w:color w:val="FF0000"/>
      <w:w w:val="80"/>
    </w:rPr>
  </w:style>
  <w:style w:type="paragraph" w:styleId="a5">
    <w:name w:val="endnote text"/>
    <w:basedOn w:val="a"/>
    <w:link w:val="a6"/>
    <w:semiHidden/>
    <w:rsid w:val="00BA682A"/>
    <w:pPr>
      <w:ind w:left="227" w:hanging="227"/>
    </w:pPr>
    <w:rPr>
      <w:sz w:val="14"/>
      <w:szCs w:val="22"/>
    </w:rPr>
  </w:style>
  <w:style w:type="character" w:customStyle="1" w:styleId="a6">
    <w:name w:val="טקסט הערת סיום תו"/>
    <w:basedOn w:val="a0"/>
    <w:link w:val="a5"/>
    <w:semiHidden/>
    <w:rsid w:val="00347EE8"/>
    <w:rPr>
      <w:rFonts w:ascii="David" w:hAnsi="David"/>
      <w:sz w:val="14"/>
      <w:szCs w:val="22"/>
    </w:rPr>
  </w:style>
  <w:style w:type="paragraph" w:customStyle="1" w:styleId="TableInnerSideHeading">
    <w:name w:val="Table InnerSideHeading"/>
    <w:basedOn w:val="TableSideHeading"/>
    <w:rsid w:val="00BA682A"/>
    <w:pPr>
      <w:outlineLvl w:val="9"/>
    </w:pPr>
  </w:style>
  <w:style w:type="paragraph" w:customStyle="1" w:styleId="Hesber">
    <w:name w:val="Hesber"/>
    <w:basedOn w:val="a"/>
    <w:rsid w:val="00BA682A"/>
    <w:pPr>
      <w:snapToGrid w:val="0"/>
      <w:ind w:left="0" w:firstLine="340"/>
    </w:pPr>
    <w:rPr>
      <w:rFonts w:ascii="Arial" w:eastAsia="Arial Unicode MS" w:hAnsi="Arial"/>
      <w:snapToGrid w:val="0"/>
      <w:sz w:val="20"/>
      <w:szCs w:val="26"/>
    </w:rPr>
  </w:style>
  <w:style w:type="paragraph" w:styleId="a7">
    <w:name w:val="footnote text"/>
    <w:basedOn w:val="a"/>
    <w:link w:val="a8"/>
    <w:autoRedefine/>
    <w:semiHidden/>
    <w:rsid w:val="00BA682A"/>
    <w:pPr>
      <w:snapToGrid w:val="0"/>
      <w:spacing w:line="240" w:lineRule="auto"/>
      <w:ind w:left="0"/>
      <w:jc w:val="left"/>
    </w:pPr>
    <w:rPr>
      <w:rFonts w:ascii="Arial" w:eastAsia="Arial Unicode MS" w:hAnsi="Arial"/>
      <w:snapToGrid w:val="0"/>
      <w:sz w:val="14"/>
      <w:szCs w:val="20"/>
    </w:rPr>
  </w:style>
  <w:style w:type="character" w:customStyle="1" w:styleId="a8">
    <w:name w:val="טקסט הערת שוליים תו"/>
    <w:basedOn w:val="a0"/>
    <w:link w:val="a7"/>
    <w:semiHidden/>
    <w:rsid w:val="00347EE8"/>
    <w:rPr>
      <w:rFonts w:ascii="Arial" w:eastAsia="Arial Unicode MS" w:hAnsi="Arial"/>
      <w:snapToGrid w:val="0"/>
      <w:sz w:val="14"/>
      <w:szCs w:val="20"/>
    </w:rPr>
  </w:style>
  <w:style w:type="character" w:styleId="a9">
    <w:name w:val="footnote reference"/>
    <w:aliases w:val="Footnote Reference"/>
    <w:basedOn w:val="a0"/>
    <w:semiHidden/>
    <w:rsid w:val="00BA682A"/>
    <w:rPr>
      <w:vertAlign w:val="superscript"/>
    </w:rPr>
  </w:style>
  <w:style w:type="paragraph" w:customStyle="1" w:styleId="HesberHeading">
    <w:name w:val="Hesber Heading"/>
    <w:basedOn w:val="Hesber"/>
    <w:rsid w:val="00BA682A"/>
    <w:pPr>
      <w:tabs>
        <w:tab w:val="left" w:pos="624"/>
        <w:tab w:val="left" w:pos="1247"/>
      </w:tabs>
    </w:pPr>
    <w:rPr>
      <w:b/>
      <w:bCs/>
    </w:rPr>
  </w:style>
  <w:style w:type="paragraph" w:customStyle="1" w:styleId="HesberWriters">
    <w:name w:val="Hesber Writers"/>
    <w:basedOn w:val="Hesber"/>
    <w:rsid w:val="00BA682A"/>
    <w:pPr>
      <w:spacing w:before="120" w:after="120"/>
      <w:ind w:left="1418"/>
      <w:jc w:val="right"/>
    </w:pPr>
    <w:rPr>
      <w:b/>
      <w:bCs/>
    </w:rPr>
  </w:style>
  <w:style w:type="character" w:styleId="aa">
    <w:name w:val="endnote reference"/>
    <w:basedOn w:val="a0"/>
    <w:semiHidden/>
    <w:rsid w:val="00BA682A"/>
    <w:rPr>
      <w:vertAlign w:val="superscript"/>
    </w:rPr>
  </w:style>
  <w:style w:type="paragraph" w:customStyle="1" w:styleId="TableBlockOutdent">
    <w:name w:val="Table BlockOutdent"/>
    <w:basedOn w:val="TableBlock"/>
    <w:rsid w:val="00BA682A"/>
    <w:pPr>
      <w:ind w:left="624" w:hanging="624"/>
    </w:pPr>
  </w:style>
  <w:style w:type="paragraph" w:styleId="ab">
    <w:name w:val="header"/>
    <w:basedOn w:val="a"/>
    <w:link w:val="ac"/>
    <w:rsid w:val="00BA682A"/>
    <w:pPr>
      <w:tabs>
        <w:tab w:val="center" w:pos="4153"/>
        <w:tab w:val="right" w:pos="8306"/>
      </w:tabs>
    </w:pPr>
  </w:style>
  <w:style w:type="character" w:customStyle="1" w:styleId="ac">
    <w:name w:val="כותרת עליונה תו"/>
    <w:basedOn w:val="a0"/>
    <w:link w:val="ab"/>
    <w:rsid w:val="00347EE8"/>
    <w:rPr>
      <w:rFonts w:ascii="David" w:hAnsi="David"/>
      <w:sz w:val="24"/>
    </w:rPr>
  </w:style>
  <w:style w:type="paragraph" w:styleId="ad">
    <w:name w:val="footer"/>
    <w:basedOn w:val="a"/>
    <w:link w:val="ae"/>
    <w:rsid w:val="00BA682A"/>
    <w:pPr>
      <w:tabs>
        <w:tab w:val="center" w:pos="4153"/>
        <w:tab w:val="right" w:pos="8306"/>
      </w:tabs>
    </w:pPr>
  </w:style>
  <w:style w:type="character" w:customStyle="1" w:styleId="ae">
    <w:name w:val="כותרת תחתונה תו"/>
    <w:basedOn w:val="a0"/>
    <w:link w:val="ad"/>
    <w:rsid w:val="00347EE8"/>
    <w:rPr>
      <w:rFonts w:ascii="David" w:hAnsi="David"/>
      <w:sz w:val="24"/>
    </w:rPr>
  </w:style>
  <w:style w:type="character" w:styleId="af">
    <w:name w:val="page number"/>
    <w:basedOn w:val="a0"/>
    <w:rsid w:val="00BA682A"/>
  </w:style>
  <w:style w:type="paragraph" w:customStyle="1" w:styleId="Cover1-Reshumot">
    <w:name w:val="Cover 1-Reshumot"/>
    <w:basedOn w:val="a"/>
    <w:rsid w:val="00BA682A"/>
    <w:pPr>
      <w:tabs>
        <w:tab w:val="left" w:pos="1191"/>
        <w:tab w:val="left" w:pos="1587"/>
      </w:tabs>
      <w:snapToGrid w:val="0"/>
      <w:spacing w:before="240" w:after="240" w:line="480" w:lineRule="auto"/>
      <w:jc w:val="center"/>
    </w:pPr>
    <w:rPr>
      <w:rFonts w:ascii="Arial" w:eastAsia="Arial Unicode MS" w:hAnsi="Arial"/>
      <w:snapToGrid w:val="0"/>
      <w:sz w:val="20"/>
      <w:szCs w:val="26"/>
    </w:rPr>
  </w:style>
  <w:style w:type="paragraph" w:customStyle="1" w:styleId="Cover2-HatzaotHok">
    <w:name w:val="Cover 2-HatzaotHok"/>
    <w:basedOn w:val="Cover1-Reshumot"/>
    <w:rsid w:val="00BA682A"/>
    <w:rPr>
      <w:sz w:val="36"/>
      <w:szCs w:val="52"/>
    </w:rPr>
  </w:style>
  <w:style w:type="paragraph" w:customStyle="1" w:styleId="Cover3-Haknesset">
    <w:name w:val="Cover 3-Haknesset"/>
    <w:basedOn w:val="Cover1-Reshumot"/>
    <w:rsid w:val="00BA682A"/>
    <w:rPr>
      <w:b/>
      <w:bCs/>
      <w:spacing w:val="60"/>
    </w:rPr>
  </w:style>
  <w:style w:type="paragraph" w:customStyle="1" w:styleId="Cover4-Date">
    <w:name w:val="Cover 4-Date"/>
    <w:basedOn w:val="a"/>
    <w:rsid w:val="00BA682A"/>
    <w:pPr>
      <w:pBdr>
        <w:bottom w:val="single" w:sz="4" w:space="0" w:color="auto"/>
      </w:pBdr>
      <w:tabs>
        <w:tab w:val="center" w:pos="4820"/>
        <w:tab w:val="right" w:pos="9639"/>
      </w:tabs>
      <w:snapToGrid w:val="0"/>
      <w:spacing w:before="240" w:after="240"/>
      <w:jc w:val="left"/>
    </w:pPr>
    <w:rPr>
      <w:rFonts w:ascii="Arial" w:eastAsia="Arial Unicode MS" w:hAnsi="Arial"/>
      <w:snapToGrid w:val="0"/>
      <w:sz w:val="20"/>
      <w:szCs w:val="26"/>
    </w:rPr>
  </w:style>
  <w:style w:type="paragraph" w:customStyle="1" w:styleId="Ragil">
    <w:name w:val="Ragil"/>
    <w:basedOn w:val="a"/>
    <w:rsid w:val="00BA682A"/>
    <w:pPr>
      <w:snapToGrid w:val="0"/>
      <w:jc w:val="left"/>
    </w:pPr>
    <w:rPr>
      <w:rFonts w:ascii="Arial" w:eastAsia="Arial Unicode MS" w:hAnsi="Arial"/>
      <w:snapToGrid w:val="0"/>
      <w:sz w:val="20"/>
      <w:szCs w:val="26"/>
    </w:rPr>
  </w:style>
  <w:style w:type="paragraph" w:styleId="af0">
    <w:name w:val="TOC Heading"/>
    <w:basedOn w:val="1"/>
    <w:next w:val="a"/>
    <w:uiPriority w:val="39"/>
    <w:unhideWhenUsed/>
    <w:qFormat/>
    <w:rsid w:val="00BA682A"/>
    <w:pPr>
      <w:widowControl/>
      <w:spacing w:before="120" w:after="120"/>
      <w:outlineLvl w:val="9"/>
    </w:pPr>
    <w:rPr>
      <w:rtl/>
      <w:cs/>
    </w:rPr>
  </w:style>
  <w:style w:type="paragraph" w:styleId="TOC1">
    <w:name w:val="toc 1"/>
    <w:basedOn w:val="a"/>
    <w:next w:val="a"/>
    <w:autoRedefine/>
    <w:uiPriority w:val="39"/>
    <w:unhideWhenUsed/>
    <w:rsid w:val="00BA682A"/>
    <w:pPr>
      <w:tabs>
        <w:tab w:val="right" w:leader="dot" w:pos="9629"/>
      </w:tabs>
      <w:spacing w:after="100"/>
    </w:pPr>
    <w:rPr>
      <w:bCs/>
      <w:szCs w:val="22"/>
    </w:rPr>
  </w:style>
  <w:style w:type="paragraph" w:styleId="TOC2">
    <w:name w:val="toc 2"/>
    <w:basedOn w:val="a"/>
    <w:next w:val="a"/>
    <w:uiPriority w:val="39"/>
    <w:unhideWhenUsed/>
    <w:rsid w:val="00BA682A"/>
    <w:pPr>
      <w:tabs>
        <w:tab w:val="right" w:leader="dot" w:pos="9628"/>
      </w:tabs>
      <w:spacing w:after="100"/>
    </w:pPr>
    <w:rPr>
      <w:szCs w:val="22"/>
    </w:rPr>
  </w:style>
  <w:style w:type="character" w:styleId="Hyperlink">
    <w:name w:val="Hyperlink"/>
    <w:basedOn w:val="a0"/>
    <w:uiPriority w:val="99"/>
    <w:unhideWhenUsed/>
    <w:rsid w:val="00BA682A"/>
    <w:rPr>
      <w:color w:val="0563C1" w:themeColor="hyperlink"/>
      <w:u w:val="single"/>
    </w:rPr>
  </w:style>
  <w:style w:type="paragraph" w:styleId="TOC3">
    <w:name w:val="toc 3"/>
    <w:basedOn w:val="a"/>
    <w:next w:val="a"/>
    <w:uiPriority w:val="39"/>
    <w:unhideWhenUsed/>
    <w:rsid w:val="00BA682A"/>
    <w:pPr>
      <w:numPr>
        <w:numId w:val="4"/>
      </w:numPr>
      <w:tabs>
        <w:tab w:val="num" w:pos="624"/>
        <w:tab w:val="right" w:leader="dot" w:pos="9629"/>
      </w:tabs>
      <w:spacing w:after="100"/>
      <w:ind w:left="811" w:hanging="357"/>
    </w:pPr>
    <w:rPr>
      <w:szCs w:val="22"/>
    </w:rPr>
  </w:style>
  <w:style w:type="paragraph" w:styleId="TOC4">
    <w:name w:val="toc 4"/>
    <w:basedOn w:val="a"/>
    <w:next w:val="a"/>
    <w:autoRedefine/>
    <w:uiPriority w:val="39"/>
    <w:unhideWhenUsed/>
    <w:qFormat/>
    <w:rsid w:val="00BA682A"/>
    <w:pPr>
      <w:tabs>
        <w:tab w:val="right" w:leader="dot" w:pos="9628"/>
      </w:tabs>
      <w:spacing w:after="100"/>
      <w:ind w:left="567"/>
    </w:pPr>
    <w:rPr>
      <w:rFonts w:asciiTheme="minorHAnsi" w:eastAsiaTheme="minorEastAsia" w:hAnsiTheme="minorHAnsi"/>
      <w:noProof/>
      <w:sz w:val="22"/>
      <w:szCs w:val="22"/>
    </w:rPr>
  </w:style>
  <w:style w:type="paragraph" w:styleId="TOC5">
    <w:name w:val="toc 5"/>
    <w:basedOn w:val="a"/>
    <w:next w:val="a"/>
    <w:semiHidden/>
    <w:unhideWhenUsed/>
    <w:rsid w:val="00BA682A"/>
    <w:pPr>
      <w:tabs>
        <w:tab w:val="right" w:leader="dot" w:pos="9628"/>
      </w:tabs>
      <w:spacing w:after="100"/>
      <w:ind w:left="567"/>
    </w:pPr>
    <w:rPr>
      <w:szCs w:val="22"/>
    </w:rPr>
  </w:style>
  <w:style w:type="paragraph" w:styleId="TOC6">
    <w:name w:val="toc 6"/>
    <w:basedOn w:val="a"/>
    <w:next w:val="a"/>
    <w:autoRedefine/>
    <w:semiHidden/>
    <w:unhideWhenUsed/>
    <w:rsid w:val="00BA682A"/>
    <w:pPr>
      <w:spacing w:after="100"/>
      <w:ind w:left="850"/>
    </w:pPr>
  </w:style>
  <w:style w:type="paragraph" w:styleId="TOC7">
    <w:name w:val="toc 7"/>
    <w:basedOn w:val="a"/>
    <w:next w:val="a"/>
    <w:autoRedefine/>
    <w:semiHidden/>
    <w:unhideWhenUsed/>
    <w:rsid w:val="00BA682A"/>
    <w:pPr>
      <w:spacing w:after="100"/>
      <w:ind w:left="1020"/>
    </w:pPr>
  </w:style>
  <w:style w:type="paragraph" w:styleId="TOC8">
    <w:name w:val="toc 8"/>
    <w:basedOn w:val="a"/>
    <w:next w:val="a"/>
    <w:autoRedefine/>
    <w:semiHidden/>
    <w:unhideWhenUsed/>
    <w:rsid w:val="00BA682A"/>
    <w:pPr>
      <w:spacing w:after="100"/>
      <w:ind w:left="1190"/>
    </w:pPr>
  </w:style>
  <w:style w:type="paragraph" w:styleId="TOC9">
    <w:name w:val="toc 9"/>
    <w:basedOn w:val="a"/>
    <w:next w:val="a"/>
    <w:autoRedefine/>
    <w:semiHidden/>
    <w:unhideWhenUsed/>
    <w:rsid w:val="00BA682A"/>
    <w:pPr>
      <w:spacing w:after="100"/>
      <w:ind w:left="1360"/>
    </w:pPr>
  </w:style>
  <w:style w:type="paragraph" w:customStyle="1" w:styleId="TableHead2">
    <w:name w:val="Table Head2"/>
    <w:basedOn w:val="TableHead"/>
    <w:qFormat/>
    <w:rsid w:val="00BA682A"/>
    <w:pPr>
      <w:outlineLvl w:val="9"/>
    </w:pPr>
  </w:style>
  <w:style w:type="paragraph" w:customStyle="1" w:styleId="TableSideHeading2">
    <w:name w:val="Table SideHeading2"/>
    <w:basedOn w:val="TableSideHeading"/>
    <w:autoRedefine/>
    <w:qFormat/>
    <w:rsid w:val="00BA682A"/>
    <w:pPr>
      <w:keepLines w:val="0"/>
      <w:outlineLvl w:val="9"/>
    </w:pPr>
  </w:style>
  <w:style w:type="paragraph" w:customStyle="1" w:styleId="0">
    <w:name w:val="סגנון שורה ראשונה:  0  ס''מ"/>
    <w:basedOn w:val="2"/>
    <w:rsid w:val="00BA682A"/>
    <w:rPr>
      <w:rFonts w:eastAsia="Times New Roman"/>
    </w:rPr>
  </w:style>
  <w:style w:type="table" w:styleId="af1">
    <w:name w:val="Table Grid"/>
    <w:basedOn w:val="a1"/>
    <w:rsid w:val="00BA682A"/>
    <w:pPr>
      <w:spacing w:after="0" w:line="240" w:lineRule="auto"/>
    </w:pPr>
    <w:rPr>
      <w:rFonts w:ascii="Times New Roman" w:eastAsia="MS Mincho"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1">
    <w:name w:val="Plain Table 1"/>
    <w:basedOn w:val="a1"/>
    <w:uiPriority w:val="41"/>
    <w:rsid w:val="00BA682A"/>
    <w:pPr>
      <w:spacing w:after="0" w:line="240" w:lineRule="auto"/>
    </w:pPr>
    <w:rPr>
      <w:rFonts w:ascii="Times New Roman" w:eastAsia="MS Mincho" w:hAnsi="Times New Roman" w:cs="Times New Roman"/>
      <w:sz w:val="20"/>
      <w:szCs w:val="20"/>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12">
    <w:name w:val="Grid Table 1 Light"/>
    <w:basedOn w:val="a1"/>
    <w:uiPriority w:val="46"/>
    <w:rsid w:val="00BA682A"/>
    <w:pPr>
      <w:spacing w:after="0" w:line="240" w:lineRule="auto"/>
    </w:pPr>
    <w:rPr>
      <w:rFonts w:ascii="Times New Roman" w:eastAsia="MS Mincho" w:hAnsi="Times New Roman" w:cs="Times New Roman"/>
      <w:sz w:val="20"/>
      <w:szCs w:val="20"/>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af2">
    <w:name w:val="טבלת חקיקה"/>
    <w:basedOn w:val="a1"/>
    <w:uiPriority w:val="99"/>
    <w:rsid w:val="00BA682A"/>
    <w:pPr>
      <w:spacing w:after="0" w:line="240" w:lineRule="auto"/>
      <w:jc w:val="center"/>
    </w:pPr>
    <w:rPr>
      <w:rFonts w:ascii="Times New Roman" w:eastAsia="MS Mincho" w:hAnsi="Times New Roman" w:cstheme="minorBidi"/>
      <w:sz w:val="20"/>
      <w:szCs w:val="20"/>
    </w:rPr>
    <w:tblPr/>
    <w:tcPr>
      <w:tcMar>
        <w:left w:w="0" w:type="dxa"/>
        <w:right w:w="0" w:type="dxa"/>
      </w:tcMar>
      <w:vAlign w:val="center"/>
    </w:tcPr>
    <w:tblStylePr w:type="firstRow">
      <w:pPr>
        <w:jc w:val="center"/>
      </w:pPr>
      <w:rPr>
        <w:rFonts w:cs="David"/>
        <w:bCs/>
        <w:szCs w:val="24"/>
      </w:rPr>
      <w:tblPr/>
      <w:tcPr>
        <w:tcBorders>
          <w:top w:val="nil"/>
          <w:left w:val="nil"/>
          <w:bottom w:val="nil"/>
          <w:right w:val="nil"/>
          <w:insideH w:val="nil"/>
          <w:insideV w:val="nil"/>
          <w:tl2br w:val="nil"/>
          <w:tr2bl w:val="nil"/>
        </w:tcBorders>
        <w:shd w:val="pct10" w:color="auto" w:fill="auto"/>
      </w:tcPr>
    </w:tblStylePr>
    <w:tblStylePr w:type="firstCol">
      <w:tblPr/>
      <w:tcPr>
        <w:noWrap/>
      </w:tcPr>
    </w:tblStylePr>
    <w:tblStylePr w:type="lastCol">
      <w:pPr>
        <w:jc w:val="center"/>
      </w:pPr>
      <w:tblPr/>
      <w:tcPr>
        <w:noWrap/>
      </w:tcPr>
    </w:tblStylePr>
  </w:style>
  <w:style w:type="table" w:customStyle="1" w:styleId="13">
    <w:name w:val="סגנון1"/>
    <w:basedOn w:val="a1"/>
    <w:uiPriority w:val="99"/>
    <w:rsid w:val="00BA682A"/>
    <w:pPr>
      <w:spacing w:after="0" w:line="240" w:lineRule="auto"/>
    </w:pPr>
    <w:rPr>
      <w:rFonts w:ascii="Times New Roman" w:eastAsia="MS Mincho" w:hAnsi="Times New Roman" w:cs="Times New Roman"/>
      <w:sz w:val="20"/>
      <w:szCs w:val="20"/>
    </w:rPr>
    <w:tblPr/>
    <w:tblStylePr w:type="firstCol">
      <w:pPr>
        <w:keepNext w:val="0"/>
        <w:keepLines/>
        <w:pageBreakBefore w:val="0"/>
        <w:widowControl w:val="0"/>
        <w:suppressLineNumbers w:val="0"/>
        <w:suppressAutoHyphens w:val="0"/>
        <w:wordWrap/>
      </w:pPr>
    </w:tblStylePr>
  </w:style>
  <w:style w:type="character" w:customStyle="1" w:styleId="a4">
    <w:name w:val="פיסקת רשימה תו"/>
    <w:aliases w:val="LP1 תו,List Paragraph_0 תו,List Paragraph_1 תו,LP11 תו,List Paragraph_01 תו,List Paragraph_11 תו,LP12 תו,List Paragraph_02 תו,List Paragraph_12 תו,LP13 תו,List Paragraph_03 תו,List Paragraph_13 תו,LP111 תו,List Paragraph_011 תו,LP121 תו"/>
    <w:basedOn w:val="a0"/>
    <w:link w:val="a3"/>
    <w:uiPriority w:val="34"/>
    <w:locked/>
    <w:rsid w:val="00347EE8"/>
  </w:style>
  <w:style w:type="character" w:customStyle="1" w:styleId="TableBlock0">
    <w:name w:val="Table Block תו"/>
    <w:basedOn w:val="a0"/>
    <w:link w:val="TableBlock"/>
    <w:locked/>
    <w:rsid w:val="00B00EBD"/>
    <w:rPr>
      <w:rFonts w:ascii="Arial" w:eastAsia="Arial Unicode MS" w:hAnsi="Arial"/>
      <w:snapToGrid w:val="0"/>
      <w:sz w:val="20"/>
      <w:szCs w:val="26"/>
    </w:rPr>
  </w:style>
  <w:style w:type="character" w:styleId="af3">
    <w:name w:val="annotation reference"/>
    <w:basedOn w:val="a0"/>
    <w:uiPriority w:val="99"/>
    <w:unhideWhenUsed/>
    <w:rsid w:val="00B00EBD"/>
    <w:rPr>
      <w:sz w:val="16"/>
      <w:szCs w:val="16"/>
    </w:rPr>
  </w:style>
  <w:style w:type="paragraph" w:styleId="af4">
    <w:name w:val="annotation text"/>
    <w:basedOn w:val="a"/>
    <w:link w:val="af5"/>
    <w:uiPriority w:val="99"/>
    <w:unhideWhenUsed/>
    <w:rsid w:val="00B00EBD"/>
    <w:pPr>
      <w:spacing w:line="240" w:lineRule="auto"/>
    </w:pPr>
    <w:rPr>
      <w:sz w:val="20"/>
      <w:szCs w:val="20"/>
    </w:rPr>
  </w:style>
  <w:style w:type="character" w:customStyle="1" w:styleId="af5">
    <w:name w:val="טקסט הערה תו"/>
    <w:basedOn w:val="a0"/>
    <w:link w:val="af4"/>
    <w:uiPriority w:val="99"/>
    <w:rsid w:val="00B00EBD"/>
    <w:rPr>
      <w:rFonts w:ascii="David" w:hAnsi="David"/>
      <w:sz w:val="20"/>
      <w:szCs w:val="20"/>
    </w:rPr>
  </w:style>
  <w:style w:type="paragraph" w:styleId="af6">
    <w:name w:val="Balloon Text"/>
    <w:basedOn w:val="a"/>
    <w:link w:val="af7"/>
    <w:uiPriority w:val="99"/>
    <w:semiHidden/>
    <w:unhideWhenUsed/>
    <w:rsid w:val="00B00EBD"/>
    <w:pPr>
      <w:spacing w:line="240" w:lineRule="auto"/>
    </w:pPr>
    <w:rPr>
      <w:rFonts w:ascii="Tahoma" w:hAnsi="Tahoma" w:cs="Tahoma"/>
      <w:sz w:val="18"/>
      <w:szCs w:val="18"/>
    </w:rPr>
  </w:style>
  <w:style w:type="character" w:customStyle="1" w:styleId="af7">
    <w:name w:val="טקסט בלונים תו"/>
    <w:basedOn w:val="a0"/>
    <w:link w:val="af6"/>
    <w:uiPriority w:val="99"/>
    <w:semiHidden/>
    <w:rsid w:val="00B00EBD"/>
    <w:rPr>
      <w:rFonts w:ascii="Tahoma" w:hAnsi="Tahoma" w:cs="Tahoma"/>
      <w:sz w:val="18"/>
      <w:szCs w:val="18"/>
    </w:rPr>
  </w:style>
  <w:style w:type="character" w:customStyle="1" w:styleId="default">
    <w:name w:val="default"/>
    <w:basedOn w:val="a0"/>
    <w:rsid w:val="00B00EBD"/>
  </w:style>
  <w:style w:type="paragraph" w:styleId="af8">
    <w:name w:val="annotation subject"/>
    <w:basedOn w:val="af4"/>
    <w:next w:val="af4"/>
    <w:link w:val="af9"/>
    <w:uiPriority w:val="99"/>
    <w:semiHidden/>
    <w:unhideWhenUsed/>
    <w:rsid w:val="000A70C2"/>
    <w:rPr>
      <w:b/>
      <w:bCs/>
    </w:rPr>
  </w:style>
  <w:style w:type="character" w:customStyle="1" w:styleId="af9">
    <w:name w:val="נושא הערה תו"/>
    <w:basedOn w:val="af5"/>
    <w:link w:val="af8"/>
    <w:uiPriority w:val="99"/>
    <w:semiHidden/>
    <w:rsid w:val="000A70C2"/>
    <w:rPr>
      <w:rFonts w:ascii="David" w:hAnsi="David"/>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6006058">
      <w:bodyDiv w:val="1"/>
      <w:marLeft w:val="0"/>
      <w:marRight w:val="0"/>
      <w:marTop w:val="0"/>
      <w:marBottom w:val="0"/>
      <w:divBdr>
        <w:top w:val="none" w:sz="0" w:space="0" w:color="auto"/>
        <w:left w:val="none" w:sz="0" w:space="0" w:color="auto"/>
        <w:bottom w:val="none" w:sz="0" w:space="0" w:color="auto"/>
        <w:right w:val="none" w:sz="0" w:space="0" w:color="auto"/>
      </w:divBdr>
    </w:div>
    <w:div w:id="1443260250">
      <w:bodyDiv w:val="1"/>
      <w:marLeft w:val="0"/>
      <w:marRight w:val="0"/>
      <w:marTop w:val="0"/>
      <w:marBottom w:val="0"/>
      <w:divBdr>
        <w:top w:val="none" w:sz="0" w:space="0" w:color="auto"/>
        <w:left w:val="none" w:sz="0" w:space="0" w:color="auto"/>
        <w:bottom w:val="none" w:sz="0" w:space="0" w:color="auto"/>
        <w:right w:val="none" w:sz="0" w:space="0" w:color="auto"/>
      </w:divBdr>
    </w:div>
    <w:div w:id="1566181128">
      <w:bodyDiv w:val="1"/>
      <w:marLeft w:val="0"/>
      <w:marRight w:val="0"/>
      <w:marTop w:val="0"/>
      <w:marBottom w:val="0"/>
      <w:divBdr>
        <w:top w:val="none" w:sz="0" w:space="0" w:color="auto"/>
        <w:left w:val="none" w:sz="0" w:space="0" w:color="auto"/>
        <w:bottom w:val="none" w:sz="0" w:space="0" w:color="auto"/>
        <w:right w:val="none" w:sz="0" w:space="0" w:color="auto"/>
      </w:divBdr>
    </w:div>
    <w:div w:id="1910920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gov.il/BlobFolder/reports/statistics_annual_2018/he/2018.pdf" TargetMode="External"/><Relationship Id="rId2" Type="http://schemas.openxmlformats.org/officeDocument/2006/relationships/hyperlink" Target="https://www.gov.il/BlobFolder/reports/statistics_annual_2018/he/2018.pdf" TargetMode="External"/><Relationship Id="rId1" Type="http://schemas.openxmlformats.org/officeDocument/2006/relationships/hyperlink" Target="http://www.gov.il/he/departments/publications/reports/report-6720" TargetMode="External"/><Relationship Id="rId4" Type="http://schemas.openxmlformats.org/officeDocument/2006/relationships/hyperlink" Target="https://www.nevo.co.il/books/%d7%a1%d7%a4%d7%a8%d7%95%d7%aa/%d7%96%d7%9e%d7%99%d7%a8,%20%d7%94%d7%a1%d7%9e%d7%9b%d7%95%d7%aa%20%d7%94%d7%9e%d7%99%d7%a0%d7%94%d7%9c%d7%99%d7%aa,%20%d7%9b%d7%a8%d7%9a%20%d7%93%20-%20%d7%a1%d7%93%d7%a8%d7%99%20%d7%94%d7%91%d7%99%d7%a7%d7%95%d7%a8%d7%aa%20%d7%94%d7%9e%d7%a9%d7%a4%d7%98%d7%99%d7%aa%20(%d7%a0%d7%91%d7%95,%202017)/zamir-2561.pdf" TargetMode="Externa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E7D50F74-0067-4DA0-B609-102546CBA9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1</Pages>
  <Words>14388</Words>
  <Characters>71944</Characters>
  <Application>Microsoft Office Word</Application>
  <DocSecurity>0</DocSecurity>
  <Lines>599</Lines>
  <Paragraphs>172</Paragraphs>
  <ScaleCrop>false</ScaleCrop>
  <HeadingPairs>
    <vt:vector size="2" baseType="variant">
      <vt:variant>
        <vt:lpstr>שם</vt:lpstr>
      </vt:variant>
      <vt:variant>
        <vt:i4>1</vt:i4>
      </vt:variant>
    </vt:vector>
  </HeadingPairs>
  <TitlesOfParts>
    <vt:vector size="1" baseType="lpstr">
      <vt:lpstr/>
    </vt:vector>
  </TitlesOfParts>
  <Company>MOJ</Company>
  <LinksUpToDate>false</LinksUpToDate>
  <CharactersWithSpaces>86160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Michal Reshef</dc:creator>
  <cp:keywords/>
  <dc:description/>
  <cp:lastModifiedBy>Michal Reshef</cp:lastModifiedBy>
  <cp:revision>13</cp:revision>
  <dcterms:created xsi:type="dcterms:W3CDTF">2021-06-30T08:50:00Z</dcterms:created>
  <dcterms:modified xsi:type="dcterms:W3CDTF">2021-07-01T10:46:00Z</dcterms:modified>
</cp:coreProperties>
</file>