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6FF8" w:rsidRPr="00693D51" w:rsidRDefault="00916FF8" w:rsidP="00693D51">
      <w:pPr>
        <w:jc w:val="center"/>
        <w:rPr>
          <w:rFonts w:cs="Miriam" w:hint="cs"/>
          <w:b/>
          <w:bCs/>
          <w:sz w:val="14"/>
          <w:szCs w:val="14"/>
          <w:u w:val="single"/>
        </w:rPr>
      </w:pPr>
    </w:p>
    <w:tbl>
      <w:tblPr>
        <w:bidiVisual/>
        <w:tblW w:w="8363" w:type="dxa"/>
        <w:tblInd w:w="9" w:type="dxa"/>
        <w:tblLook w:val="0000" w:firstRow="0" w:lastRow="0" w:firstColumn="0" w:lastColumn="0" w:noHBand="0" w:noVBand="0"/>
      </w:tblPr>
      <w:tblGrid>
        <w:gridCol w:w="8363"/>
      </w:tblGrid>
      <w:tr w:rsidR="00036227" w:rsidTr="0039709B">
        <w:tc>
          <w:tcPr>
            <w:tcW w:w="7848" w:type="dxa"/>
          </w:tcPr>
          <w:p w:rsidR="00916FF8" w:rsidRPr="00624A42" w:rsidRDefault="002E40DE" w:rsidP="004C7868">
            <w:pPr>
              <w:pStyle w:val="FileNumber0"/>
              <w:rPr>
                <w:sz w:val="28"/>
                <w:u w:val="single"/>
                <w:rtl/>
              </w:rPr>
            </w:pPr>
            <w:r>
              <w:rPr>
                <w:u w:val="single"/>
                <w:rtl/>
              </w:rPr>
              <w:t>בבית המשפט העליון בשבתו כבית משפט גבוה לצדק</w:t>
            </w:r>
          </w:p>
        </w:tc>
      </w:tr>
    </w:tbl>
    <w:p w:rsidR="00916FF8" w:rsidRPr="00693D51" w:rsidRDefault="00916FF8">
      <w:pPr>
        <w:jc w:val="right"/>
        <w:rPr>
          <w:rFonts w:cs="Miriam"/>
          <w:b/>
          <w:bCs/>
          <w:sz w:val="24"/>
          <w:szCs w:val="32"/>
          <w:u w:val="single"/>
        </w:rPr>
      </w:pPr>
    </w:p>
    <w:tbl>
      <w:tblPr>
        <w:bidiVisual/>
        <w:tblW w:w="8363" w:type="dxa"/>
        <w:tblLook w:val="0000" w:firstRow="0" w:lastRow="0" w:firstColumn="0" w:lastColumn="0" w:noHBand="0" w:noVBand="0"/>
      </w:tblPr>
      <w:tblGrid>
        <w:gridCol w:w="8363"/>
      </w:tblGrid>
      <w:tr w:rsidR="00036227" w:rsidTr="0039709B">
        <w:trPr>
          <w:trHeight w:val="342"/>
        </w:trPr>
        <w:tc>
          <w:tcPr>
            <w:tcW w:w="9828" w:type="dxa"/>
          </w:tcPr>
          <w:p w:rsidR="00916FF8" w:rsidRPr="00810894" w:rsidRDefault="002E40DE" w:rsidP="0007657B">
            <w:pPr>
              <w:pStyle w:val="FileNumber"/>
              <w:rPr>
                <w:sz w:val="28"/>
                <w:szCs w:val="28"/>
              </w:rPr>
            </w:pPr>
            <w:bookmarkStart w:id="0" w:name="casename_body"/>
            <w:r>
              <w:rPr>
                <w:sz w:val="28"/>
                <w:szCs w:val="28"/>
                <w:rtl/>
              </w:rPr>
              <w:t>בג"ץ 1893/23</w:t>
            </w:r>
          </w:p>
        </w:tc>
      </w:tr>
      <w:bookmarkEnd w:id="0"/>
    </w:tbl>
    <w:p w:rsidR="00916FF8" w:rsidRDefault="00916FF8">
      <w:pPr>
        <w:jc w:val="right"/>
        <w:rPr>
          <w:rFonts w:cs="Miriam"/>
          <w:b/>
          <w:bCs/>
          <w:u w:val="single"/>
        </w:rPr>
      </w:pPr>
    </w:p>
    <w:tbl>
      <w:tblPr>
        <w:bidiVisual/>
        <w:tblW w:w="8364" w:type="dxa"/>
        <w:tblLayout w:type="fixed"/>
        <w:tblLook w:val="0000" w:firstRow="0" w:lastRow="0" w:firstColumn="0" w:lastColumn="0" w:noHBand="0" w:noVBand="0"/>
      </w:tblPr>
      <w:tblGrid>
        <w:gridCol w:w="3210"/>
        <w:gridCol w:w="5154"/>
      </w:tblGrid>
      <w:tr w:rsidR="00036227" w:rsidTr="00EC23AC">
        <w:trPr>
          <w:trHeight w:val="287"/>
        </w:trPr>
        <w:tc>
          <w:tcPr>
            <w:tcW w:w="3261" w:type="dxa"/>
          </w:tcPr>
          <w:p w:rsidR="00036227" w:rsidRDefault="00CB7600">
            <w:pPr>
              <w:pStyle w:val="BodyRuller"/>
              <w:rPr>
                <w:rFonts w:cs="Miriam"/>
                <w:b/>
                <w:bCs/>
                <w:u w:val="single"/>
              </w:rPr>
            </w:pPr>
            <w:r>
              <w:rPr>
                <w:rFonts w:hint="cs"/>
                <w:rtl/>
              </w:rPr>
              <w:t>ל</w:t>
            </w:r>
            <w:r w:rsidR="00036227">
              <w:rPr>
                <w:rtl/>
              </w:rPr>
              <w:t>פני:</w:t>
            </w:r>
            <w:r w:rsidR="00036227">
              <w:rPr>
                <w:rtl/>
              </w:rPr>
              <w:tab/>
            </w:r>
          </w:p>
        </w:tc>
        <w:tc>
          <w:tcPr>
            <w:tcW w:w="5239" w:type="dxa"/>
          </w:tcPr>
          <w:p w:rsidR="00036227" w:rsidRDefault="002E40DE">
            <w:pPr>
              <w:pStyle w:val="BodyRuller"/>
            </w:pPr>
            <w:r>
              <w:rPr>
                <w:rtl/>
              </w:rPr>
              <w:t>כבוד השופט י' עמית</w:t>
            </w:r>
          </w:p>
        </w:tc>
      </w:tr>
      <w:tr w:rsidR="002E40DE" w:rsidTr="00EC23AC">
        <w:trPr>
          <w:trHeight w:val="287"/>
        </w:trPr>
        <w:tc>
          <w:tcPr>
            <w:tcW w:w="3261" w:type="dxa"/>
          </w:tcPr>
          <w:p w:rsidR="002E40DE" w:rsidRDefault="002E40DE">
            <w:pPr>
              <w:pStyle w:val="BodyRuller"/>
              <w:rPr>
                <w:rtl/>
              </w:rPr>
            </w:pPr>
          </w:p>
        </w:tc>
        <w:tc>
          <w:tcPr>
            <w:tcW w:w="5239" w:type="dxa"/>
          </w:tcPr>
          <w:p w:rsidR="002E40DE" w:rsidRDefault="002E40DE">
            <w:pPr>
              <w:pStyle w:val="BodyRuller"/>
              <w:rPr>
                <w:rtl/>
              </w:rPr>
            </w:pPr>
            <w:r>
              <w:rPr>
                <w:rtl/>
              </w:rPr>
              <w:t xml:space="preserve">כבוד השופט ע' </w:t>
            </w:r>
            <w:proofErr w:type="spellStart"/>
            <w:r>
              <w:rPr>
                <w:rtl/>
              </w:rPr>
              <w:t>גרוסקופף</w:t>
            </w:r>
            <w:proofErr w:type="spellEnd"/>
          </w:p>
        </w:tc>
      </w:tr>
      <w:tr w:rsidR="002E40DE" w:rsidTr="00EC23AC">
        <w:trPr>
          <w:trHeight w:val="287"/>
        </w:trPr>
        <w:tc>
          <w:tcPr>
            <w:tcW w:w="3261" w:type="dxa"/>
          </w:tcPr>
          <w:p w:rsidR="002E40DE" w:rsidRDefault="002E40DE">
            <w:pPr>
              <w:pStyle w:val="BodyRuller"/>
              <w:rPr>
                <w:rtl/>
              </w:rPr>
            </w:pPr>
          </w:p>
        </w:tc>
        <w:tc>
          <w:tcPr>
            <w:tcW w:w="5239" w:type="dxa"/>
          </w:tcPr>
          <w:p w:rsidR="002E40DE" w:rsidRDefault="002E40DE" w:rsidP="00925E56">
            <w:pPr>
              <w:pStyle w:val="BodyRuller"/>
              <w:rPr>
                <w:rtl/>
              </w:rPr>
            </w:pPr>
            <w:r>
              <w:rPr>
                <w:rtl/>
              </w:rPr>
              <w:t xml:space="preserve">כבוד </w:t>
            </w:r>
            <w:r w:rsidR="00925E56">
              <w:rPr>
                <w:rFonts w:hint="cs"/>
                <w:rtl/>
              </w:rPr>
              <w:t>השופט א' שטיין</w:t>
            </w:r>
          </w:p>
        </w:tc>
      </w:tr>
    </w:tbl>
    <w:p w:rsidR="00916FF8" w:rsidRDefault="00916FF8">
      <w:pPr>
        <w:pStyle w:val="Ruller3"/>
        <w:rPr>
          <w:rFonts w:cs="Miriam"/>
          <w:b/>
          <w:bCs/>
          <w:u w:val="single"/>
          <w:rtl/>
        </w:rPr>
      </w:pPr>
    </w:p>
    <w:tbl>
      <w:tblPr>
        <w:bidiVisual/>
        <w:tblW w:w="8364" w:type="dxa"/>
        <w:tblLayout w:type="fixed"/>
        <w:tblLook w:val="0000" w:firstRow="0" w:lastRow="0" w:firstColumn="0" w:lastColumn="0" w:noHBand="0" w:noVBand="0"/>
      </w:tblPr>
      <w:tblGrid>
        <w:gridCol w:w="3210"/>
        <w:gridCol w:w="5154"/>
      </w:tblGrid>
      <w:tr w:rsidR="0007657B" w:rsidTr="00FA29A6">
        <w:trPr>
          <w:trHeight w:val="287"/>
        </w:trPr>
        <w:tc>
          <w:tcPr>
            <w:tcW w:w="3261" w:type="dxa"/>
          </w:tcPr>
          <w:p w:rsidR="0007657B" w:rsidRPr="00E75223" w:rsidRDefault="0007657B" w:rsidP="00FA29A6">
            <w:pPr>
              <w:pStyle w:val="BodyRuller"/>
              <w:rPr>
                <w:rFonts w:ascii="David" w:hAnsi="David"/>
              </w:rPr>
            </w:pPr>
            <w:r>
              <w:rPr>
                <w:rFonts w:ascii="David" w:hAnsi="David"/>
                <w:rtl/>
              </w:rPr>
              <w:t>העותר</w:t>
            </w:r>
            <w:r>
              <w:rPr>
                <w:rFonts w:ascii="David" w:hAnsi="David" w:hint="cs"/>
                <w:rtl/>
              </w:rPr>
              <w:t>ות</w:t>
            </w:r>
            <w:r>
              <w:rPr>
                <w:rFonts w:ascii="David" w:hAnsi="David"/>
                <w:rtl/>
              </w:rPr>
              <w:t>:</w:t>
            </w:r>
          </w:p>
        </w:tc>
        <w:tc>
          <w:tcPr>
            <w:tcW w:w="5239" w:type="dxa"/>
          </w:tcPr>
          <w:p w:rsidR="0007657B" w:rsidRDefault="0007657B" w:rsidP="00FA29A6">
            <w:pPr>
              <w:pStyle w:val="BodyRuller"/>
            </w:pPr>
            <w:r>
              <w:rPr>
                <w:rtl/>
              </w:rPr>
              <w:t>1. ארגון לביא</w:t>
            </w:r>
          </w:p>
        </w:tc>
      </w:tr>
      <w:tr w:rsidR="0007657B" w:rsidTr="00FA29A6">
        <w:trPr>
          <w:trHeight w:val="287"/>
        </w:trPr>
        <w:tc>
          <w:tcPr>
            <w:tcW w:w="3261" w:type="dxa"/>
          </w:tcPr>
          <w:p w:rsidR="0007657B" w:rsidRDefault="0007657B" w:rsidP="00FA29A6">
            <w:pPr>
              <w:pStyle w:val="BodyRuller"/>
              <w:rPr>
                <w:rFonts w:ascii="David" w:hAnsi="David"/>
                <w:rtl/>
              </w:rPr>
            </w:pPr>
          </w:p>
        </w:tc>
        <w:tc>
          <w:tcPr>
            <w:tcW w:w="5239" w:type="dxa"/>
          </w:tcPr>
          <w:p w:rsidR="0007657B" w:rsidRDefault="0007657B" w:rsidP="00FA29A6">
            <w:pPr>
              <w:pStyle w:val="BodyRuller"/>
              <w:rPr>
                <w:rtl/>
              </w:rPr>
            </w:pPr>
            <w:r>
              <w:rPr>
                <w:rtl/>
              </w:rPr>
              <w:t>2. איתן-מדיניות הגירה לישראל</w:t>
            </w:r>
          </w:p>
        </w:tc>
      </w:tr>
      <w:tr w:rsidR="0007657B" w:rsidTr="00FA29A6">
        <w:trPr>
          <w:trHeight w:val="287"/>
        </w:trPr>
        <w:tc>
          <w:tcPr>
            <w:tcW w:w="3261" w:type="dxa"/>
          </w:tcPr>
          <w:p w:rsidR="0007657B" w:rsidRDefault="0007657B" w:rsidP="00FA29A6">
            <w:pPr>
              <w:pStyle w:val="BodyRuller"/>
              <w:rPr>
                <w:rFonts w:ascii="David" w:hAnsi="David"/>
                <w:rtl/>
              </w:rPr>
            </w:pPr>
          </w:p>
        </w:tc>
        <w:tc>
          <w:tcPr>
            <w:tcW w:w="5239" w:type="dxa"/>
          </w:tcPr>
          <w:p w:rsidR="0007657B" w:rsidRDefault="0007657B" w:rsidP="00FA29A6">
            <w:pPr>
              <w:pStyle w:val="BodyRuller"/>
              <w:rPr>
                <w:rtl/>
              </w:rPr>
            </w:pPr>
            <w:r>
              <w:rPr>
                <w:rtl/>
              </w:rPr>
              <w:t>3. אם תרצו ציונות להיות או לחדול</w:t>
            </w:r>
          </w:p>
        </w:tc>
      </w:tr>
      <w:tr w:rsidR="0007657B" w:rsidTr="00FA29A6">
        <w:trPr>
          <w:trHeight w:val="287"/>
        </w:trPr>
        <w:tc>
          <w:tcPr>
            <w:tcW w:w="3261" w:type="dxa"/>
          </w:tcPr>
          <w:p w:rsidR="0007657B" w:rsidRDefault="0007657B" w:rsidP="00FA29A6">
            <w:pPr>
              <w:pStyle w:val="BodyRuller"/>
              <w:rPr>
                <w:rFonts w:ascii="David" w:hAnsi="David"/>
                <w:rtl/>
              </w:rPr>
            </w:pPr>
          </w:p>
        </w:tc>
        <w:tc>
          <w:tcPr>
            <w:tcW w:w="5239" w:type="dxa"/>
          </w:tcPr>
          <w:p w:rsidR="0007657B" w:rsidRDefault="0007657B" w:rsidP="00FA29A6">
            <w:pPr>
              <w:pStyle w:val="BodyRuller"/>
              <w:rPr>
                <w:rtl/>
              </w:rPr>
            </w:pPr>
            <w:r>
              <w:rPr>
                <w:rtl/>
              </w:rPr>
              <w:t>4. התנועה למשילות ודמוקרטיה</w:t>
            </w:r>
          </w:p>
        </w:tc>
      </w:tr>
      <w:tr w:rsidR="0007657B" w:rsidTr="00FA29A6">
        <w:trPr>
          <w:trHeight w:val="287"/>
        </w:trPr>
        <w:tc>
          <w:tcPr>
            <w:tcW w:w="3261" w:type="dxa"/>
          </w:tcPr>
          <w:p w:rsidR="0007657B" w:rsidRDefault="0007657B" w:rsidP="00FA29A6">
            <w:pPr>
              <w:pStyle w:val="BodyRuller"/>
              <w:rPr>
                <w:rFonts w:ascii="David" w:hAnsi="David"/>
                <w:rtl/>
              </w:rPr>
            </w:pPr>
          </w:p>
        </w:tc>
        <w:tc>
          <w:tcPr>
            <w:tcW w:w="5239" w:type="dxa"/>
          </w:tcPr>
          <w:p w:rsidR="0007657B" w:rsidRDefault="0007657B" w:rsidP="00FA29A6">
            <w:pPr>
              <w:pStyle w:val="BodyRuller"/>
              <w:rPr>
                <w:rtl/>
              </w:rPr>
            </w:pPr>
            <w:r>
              <w:rPr>
                <w:rtl/>
              </w:rPr>
              <w:t>5. חוג הפרופסורים לחוסן מדיני וכלכלי</w:t>
            </w:r>
          </w:p>
        </w:tc>
      </w:tr>
    </w:tbl>
    <w:p w:rsidR="0007657B" w:rsidRDefault="0007657B" w:rsidP="0007657B">
      <w:pPr>
        <w:pStyle w:val="Ruller3"/>
      </w:pPr>
    </w:p>
    <w:tbl>
      <w:tblPr>
        <w:bidiVisual/>
        <w:tblW w:w="8363" w:type="dxa"/>
        <w:tblLook w:val="0000" w:firstRow="0" w:lastRow="0" w:firstColumn="0" w:lastColumn="0" w:noHBand="0" w:noVBand="0"/>
      </w:tblPr>
      <w:tblGrid>
        <w:gridCol w:w="3222"/>
        <w:gridCol w:w="5141"/>
      </w:tblGrid>
      <w:tr w:rsidR="0007657B" w:rsidTr="00FA29A6">
        <w:tc>
          <w:tcPr>
            <w:tcW w:w="3284" w:type="dxa"/>
          </w:tcPr>
          <w:p w:rsidR="0007657B" w:rsidRDefault="0007657B" w:rsidP="00FA29A6">
            <w:pPr>
              <w:pStyle w:val="BodyRuller"/>
            </w:pPr>
          </w:p>
        </w:tc>
        <w:tc>
          <w:tcPr>
            <w:tcW w:w="5238" w:type="dxa"/>
          </w:tcPr>
          <w:p w:rsidR="0007657B" w:rsidRDefault="0007657B" w:rsidP="00FA29A6">
            <w:pPr>
              <w:pStyle w:val="BodyRuller"/>
            </w:pPr>
            <w:r>
              <w:rPr>
                <w:rFonts w:hint="cs"/>
                <w:rtl/>
              </w:rPr>
              <w:t>נ</w:t>
            </w:r>
            <w:r>
              <w:t xml:space="preserve">  </w:t>
            </w:r>
            <w:r>
              <w:rPr>
                <w:rFonts w:hint="cs"/>
                <w:rtl/>
              </w:rPr>
              <w:t>ג</w:t>
            </w:r>
            <w:r>
              <w:t xml:space="preserve">  </w:t>
            </w:r>
            <w:r>
              <w:rPr>
                <w:rFonts w:hint="cs"/>
                <w:rtl/>
              </w:rPr>
              <w:t>ד</w:t>
            </w:r>
          </w:p>
        </w:tc>
      </w:tr>
    </w:tbl>
    <w:p w:rsidR="0007657B" w:rsidRDefault="0007657B" w:rsidP="0007657B">
      <w:pPr>
        <w:pStyle w:val="Ruller3"/>
        <w:rPr>
          <w:rtl/>
        </w:rPr>
      </w:pPr>
    </w:p>
    <w:tbl>
      <w:tblPr>
        <w:bidiVisual/>
        <w:tblW w:w="8364" w:type="dxa"/>
        <w:tblLayout w:type="fixed"/>
        <w:tblLook w:val="0000" w:firstRow="0" w:lastRow="0" w:firstColumn="0" w:lastColumn="0" w:noHBand="0" w:noVBand="0"/>
      </w:tblPr>
      <w:tblGrid>
        <w:gridCol w:w="3210"/>
        <w:gridCol w:w="5154"/>
      </w:tblGrid>
      <w:tr w:rsidR="0007657B" w:rsidTr="00FA29A6">
        <w:trPr>
          <w:trHeight w:val="287"/>
        </w:trPr>
        <w:tc>
          <w:tcPr>
            <w:tcW w:w="3261" w:type="dxa"/>
          </w:tcPr>
          <w:p w:rsidR="0007657B" w:rsidRPr="00E75223" w:rsidRDefault="0007657B" w:rsidP="00FA29A6">
            <w:pPr>
              <w:pStyle w:val="BodyRuller"/>
              <w:rPr>
                <w:rFonts w:ascii="David" w:hAnsi="David"/>
              </w:rPr>
            </w:pPr>
            <w:r>
              <w:rPr>
                <w:rFonts w:ascii="David" w:hAnsi="David"/>
                <w:rtl/>
              </w:rPr>
              <w:t>המשיב</w:t>
            </w:r>
            <w:r>
              <w:rPr>
                <w:rFonts w:ascii="David" w:hAnsi="David" w:hint="cs"/>
                <w:rtl/>
              </w:rPr>
              <w:t>ה</w:t>
            </w:r>
            <w:r>
              <w:rPr>
                <w:rFonts w:ascii="David" w:hAnsi="David"/>
                <w:rtl/>
              </w:rPr>
              <w:t>:</w:t>
            </w:r>
          </w:p>
        </w:tc>
        <w:tc>
          <w:tcPr>
            <w:tcW w:w="5239" w:type="dxa"/>
          </w:tcPr>
          <w:p w:rsidR="0007657B" w:rsidRDefault="0007657B" w:rsidP="0023767D">
            <w:pPr>
              <w:pStyle w:val="BodyRuller"/>
              <w:jc w:val="both"/>
            </w:pPr>
            <w:r>
              <w:rPr>
                <w:rtl/>
              </w:rPr>
              <w:t xml:space="preserve">היועצת המשפטית לממשלה, עו"ד גלי </w:t>
            </w:r>
            <w:proofErr w:type="spellStart"/>
            <w:r>
              <w:rPr>
                <w:rtl/>
              </w:rPr>
              <w:t>בהרב-מיארה</w:t>
            </w:r>
            <w:proofErr w:type="spellEnd"/>
          </w:p>
        </w:tc>
      </w:tr>
    </w:tbl>
    <w:p w:rsidR="0007657B" w:rsidRPr="00C0634A" w:rsidRDefault="0007657B" w:rsidP="0007657B">
      <w:pPr>
        <w:pStyle w:val="Ruller3"/>
        <w:rPr>
          <w:rtl/>
        </w:rPr>
      </w:pPr>
    </w:p>
    <w:tbl>
      <w:tblPr>
        <w:bidiVisual/>
        <w:tblW w:w="8364" w:type="dxa"/>
        <w:tblLayout w:type="fixed"/>
        <w:tblLook w:val="0000" w:firstRow="0" w:lastRow="0" w:firstColumn="0" w:lastColumn="0" w:noHBand="0" w:noVBand="0"/>
      </w:tblPr>
      <w:tblGrid>
        <w:gridCol w:w="3210"/>
        <w:gridCol w:w="5154"/>
      </w:tblGrid>
      <w:tr w:rsidR="0007657B" w:rsidTr="00FA29A6">
        <w:trPr>
          <w:trHeight w:val="287"/>
        </w:trPr>
        <w:tc>
          <w:tcPr>
            <w:tcW w:w="3261" w:type="dxa"/>
          </w:tcPr>
          <w:p w:rsidR="0007657B" w:rsidRPr="00E75223" w:rsidRDefault="0007657B" w:rsidP="00FA29A6">
            <w:pPr>
              <w:pStyle w:val="BodyRuller"/>
              <w:rPr>
                <w:rFonts w:ascii="David" w:hAnsi="David"/>
              </w:rPr>
            </w:pPr>
            <w:r>
              <w:rPr>
                <w:rFonts w:ascii="David" w:hAnsi="David" w:hint="cs"/>
                <w:rtl/>
              </w:rPr>
              <w:t>המבקשת להצטרף</w:t>
            </w:r>
            <w:r>
              <w:rPr>
                <w:rFonts w:ascii="David" w:hAnsi="David"/>
                <w:rtl/>
              </w:rPr>
              <w:t>:</w:t>
            </w:r>
          </w:p>
        </w:tc>
        <w:tc>
          <w:tcPr>
            <w:tcW w:w="5239" w:type="dxa"/>
          </w:tcPr>
          <w:p w:rsidR="0007657B" w:rsidRDefault="0007657B" w:rsidP="00FA29A6">
            <w:pPr>
              <w:pStyle w:val="BodyRuller"/>
            </w:pPr>
            <w:r>
              <w:rPr>
                <w:rFonts w:hint="cs"/>
                <w:rtl/>
              </w:rPr>
              <w:t>משמר הדמוקרטיה הישראלית</w:t>
            </w:r>
          </w:p>
        </w:tc>
      </w:tr>
    </w:tbl>
    <w:p w:rsidR="0007657B" w:rsidRDefault="0007657B" w:rsidP="0007657B">
      <w:pPr>
        <w:pStyle w:val="Ruller3"/>
      </w:pPr>
    </w:p>
    <w:tbl>
      <w:tblPr>
        <w:bidiVisual/>
        <w:tblW w:w="0" w:type="auto"/>
        <w:tblInd w:w="3209" w:type="dxa"/>
        <w:tblLook w:val="0000" w:firstRow="0" w:lastRow="0" w:firstColumn="0" w:lastColumn="0" w:noHBand="0" w:noVBand="0"/>
      </w:tblPr>
      <w:tblGrid>
        <w:gridCol w:w="5103"/>
      </w:tblGrid>
      <w:tr w:rsidR="0007657B" w:rsidTr="00FA29A6">
        <w:tc>
          <w:tcPr>
            <w:tcW w:w="5103" w:type="dxa"/>
          </w:tcPr>
          <w:p w:rsidR="0007657B" w:rsidRPr="00265F6E" w:rsidRDefault="0007657B" w:rsidP="00FA29A6">
            <w:pPr>
              <w:pStyle w:val="BodyRuller"/>
              <w:rPr>
                <w:sz w:val="24"/>
                <w:szCs w:val="24"/>
              </w:rPr>
            </w:pPr>
            <w:r>
              <w:rPr>
                <w:rFonts w:hint="cs"/>
                <w:sz w:val="24"/>
                <w:szCs w:val="24"/>
                <w:rtl/>
              </w:rPr>
              <w:t>עתירה למתן צו על תנאי</w:t>
            </w:r>
          </w:p>
        </w:tc>
      </w:tr>
    </w:tbl>
    <w:p w:rsidR="0007657B" w:rsidRPr="004A4207" w:rsidRDefault="0007657B" w:rsidP="0007657B">
      <w:pPr>
        <w:pStyle w:val="Ruller3"/>
        <w:rPr>
          <w:rtl/>
        </w:rPr>
      </w:pPr>
    </w:p>
    <w:tbl>
      <w:tblPr>
        <w:bidiVisual/>
        <w:tblW w:w="8364" w:type="dxa"/>
        <w:tblLayout w:type="fixed"/>
        <w:tblLook w:val="0000" w:firstRow="0" w:lastRow="0" w:firstColumn="0" w:lastColumn="0" w:noHBand="0" w:noVBand="0"/>
      </w:tblPr>
      <w:tblGrid>
        <w:gridCol w:w="3210"/>
        <w:gridCol w:w="5154"/>
      </w:tblGrid>
      <w:tr w:rsidR="0007657B" w:rsidTr="00FA29A6">
        <w:trPr>
          <w:trHeight w:val="287"/>
        </w:trPr>
        <w:tc>
          <w:tcPr>
            <w:tcW w:w="3261" w:type="dxa"/>
          </w:tcPr>
          <w:p w:rsidR="0007657B" w:rsidRPr="00E75223" w:rsidRDefault="0007657B" w:rsidP="00FA29A6">
            <w:pPr>
              <w:pStyle w:val="BodyRuller"/>
              <w:rPr>
                <w:rFonts w:ascii="David" w:hAnsi="David"/>
              </w:rPr>
            </w:pPr>
            <w:r>
              <w:rPr>
                <w:rFonts w:ascii="David" w:hAnsi="David" w:hint="cs"/>
                <w:rtl/>
              </w:rPr>
              <w:t>בשם העותרות 5-1</w:t>
            </w:r>
            <w:r>
              <w:rPr>
                <w:rFonts w:ascii="David" w:hAnsi="David"/>
                <w:rtl/>
              </w:rPr>
              <w:t>:</w:t>
            </w:r>
          </w:p>
        </w:tc>
        <w:tc>
          <w:tcPr>
            <w:tcW w:w="5239" w:type="dxa"/>
          </w:tcPr>
          <w:p w:rsidR="0007657B" w:rsidRDefault="0007657B" w:rsidP="00FA29A6">
            <w:pPr>
              <w:pStyle w:val="BodyRuller"/>
            </w:pPr>
            <w:r>
              <w:rPr>
                <w:rFonts w:hint="cs"/>
                <w:rtl/>
              </w:rPr>
              <w:t>עו"ד יונה שרקי</w:t>
            </w:r>
          </w:p>
        </w:tc>
      </w:tr>
    </w:tbl>
    <w:p w:rsidR="0007657B" w:rsidRDefault="0007657B" w:rsidP="0007657B">
      <w:pPr>
        <w:pStyle w:val="Ruller3"/>
        <w:rPr>
          <w:rtl/>
        </w:rPr>
      </w:pPr>
    </w:p>
    <w:tbl>
      <w:tblPr>
        <w:bidiVisual/>
        <w:tblW w:w="8364" w:type="dxa"/>
        <w:tblLayout w:type="fixed"/>
        <w:tblLook w:val="0000" w:firstRow="0" w:lastRow="0" w:firstColumn="0" w:lastColumn="0" w:noHBand="0" w:noVBand="0"/>
      </w:tblPr>
      <w:tblGrid>
        <w:gridCol w:w="3210"/>
        <w:gridCol w:w="5154"/>
      </w:tblGrid>
      <w:tr w:rsidR="0007657B" w:rsidTr="00FA29A6">
        <w:trPr>
          <w:trHeight w:val="287"/>
        </w:trPr>
        <w:tc>
          <w:tcPr>
            <w:tcW w:w="3261" w:type="dxa"/>
          </w:tcPr>
          <w:p w:rsidR="0007657B" w:rsidRPr="00E75223" w:rsidRDefault="0007657B" w:rsidP="00FA29A6">
            <w:pPr>
              <w:pStyle w:val="BodyRuller"/>
              <w:rPr>
                <w:rFonts w:ascii="David" w:hAnsi="David"/>
              </w:rPr>
            </w:pPr>
            <w:r>
              <w:rPr>
                <w:rFonts w:ascii="David" w:hAnsi="David" w:hint="cs"/>
                <w:rtl/>
              </w:rPr>
              <w:t>בשם המבקשת להצטרף</w:t>
            </w:r>
            <w:r>
              <w:rPr>
                <w:rFonts w:ascii="David" w:hAnsi="David"/>
                <w:rtl/>
              </w:rPr>
              <w:t>:</w:t>
            </w:r>
          </w:p>
        </w:tc>
        <w:tc>
          <w:tcPr>
            <w:tcW w:w="5239" w:type="dxa"/>
          </w:tcPr>
          <w:p w:rsidR="0007657B" w:rsidRDefault="0007657B" w:rsidP="00FA29A6">
            <w:pPr>
              <w:pStyle w:val="BodyRuller"/>
            </w:pPr>
            <w:r>
              <w:rPr>
                <w:rFonts w:hint="cs"/>
                <w:rtl/>
              </w:rPr>
              <w:t xml:space="preserve">עו"ד יובל </w:t>
            </w:r>
            <w:proofErr w:type="spellStart"/>
            <w:r>
              <w:rPr>
                <w:rFonts w:hint="cs"/>
                <w:rtl/>
              </w:rPr>
              <w:t>יועז</w:t>
            </w:r>
            <w:proofErr w:type="spellEnd"/>
            <w:r>
              <w:rPr>
                <w:rFonts w:hint="cs"/>
                <w:rtl/>
              </w:rPr>
              <w:t xml:space="preserve">; עו"ד רינה </w:t>
            </w:r>
            <w:proofErr w:type="spellStart"/>
            <w:r>
              <w:rPr>
                <w:rFonts w:hint="cs"/>
                <w:rtl/>
              </w:rPr>
              <w:t>ענתי</w:t>
            </w:r>
            <w:proofErr w:type="spellEnd"/>
          </w:p>
        </w:tc>
      </w:tr>
    </w:tbl>
    <w:p w:rsidR="00916FF8" w:rsidRPr="0007657B" w:rsidRDefault="00916FF8" w:rsidP="0007657B">
      <w:pPr>
        <w:tabs>
          <w:tab w:val="left" w:pos="2552"/>
        </w:tabs>
        <w:spacing w:line="360" w:lineRule="auto"/>
      </w:pPr>
    </w:p>
    <w:tbl>
      <w:tblPr>
        <w:bidiVisual/>
        <w:tblW w:w="8363" w:type="dxa"/>
        <w:tblLook w:val="0000" w:firstRow="0" w:lastRow="0" w:firstColumn="0" w:lastColumn="0" w:noHBand="0" w:noVBand="0"/>
      </w:tblPr>
      <w:tblGrid>
        <w:gridCol w:w="8363"/>
      </w:tblGrid>
      <w:tr w:rsidR="00036227" w:rsidTr="00D00B1D">
        <w:tc>
          <w:tcPr>
            <w:tcW w:w="9837" w:type="dxa"/>
          </w:tcPr>
          <w:p w:rsidR="00916FF8" w:rsidRDefault="002E40DE">
            <w:pPr>
              <w:pStyle w:val="DocumentHead"/>
            </w:pPr>
            <w:bookmarkStart w:id="1" w:name="secretary"/>
            <w:bookmarkStart w:id="2" w:name="BeginProtocol"/>
            <w:bookmarkEnd w:id="1"/>
            <w:bookmarkEnd w:id="2"/>
            <w:r>
              <w:rPr>
                <w:rtl/>
              </w:rPr>
              <w:t>פסק-דין</w:t>
            </w:r>
          </w:p>
        </w:tc>
      </w:tr>
    </w:tbl>
    <w:p w:rsidR="0065522F" w:rsidRDefault="0065522F">
      <w:pPr>
        <w:pStyle w:val="BODYVERDICT"/>
      </w:pPr>
    </w:p>
    <w:p w:rsidR="00916FF8" w:rsidRPr="00503A3E" w:rsidRDefault="002E40DE">
      <w:pPr>
        <w:pStyle w:val="BODYVERDICT"/>
        <w:rPr>
          <w:rFonts w:cs="Miriam"/>
          <w:sz w:val="24"/>
          <w:szCs w:val="24"/>
          <w:u w:val="single"/>
          <w:rtl/>
        </w:rPr>
      </w:pPr>
      <w:bookmarkStart w:id="3" w:name="Writer_Name"/>
      <w:bookmarkEnd w:id="3"/>
      <w:r>
        <w:rPr>
          <w:rFonts w:cs="Miriam"/>
          <w:sz w:val="24"/>
          <w:szCs w:val="24"/>
          <w:u w:val="single"/>
          <w:rtl/>
        </w:rPr>
        <w:t xml:space="preserve">השופט ע' </w:t>
      </w:r>
      <w:proofErr w:type="spellStart"/>
      <w:r>
        <w:rPr>
          <w:rFonts w:cs="Miriam"/>
          <w:sz w:val="24"/>
          <w:szCs w:val="24"/>
          <w:u w:val="single"/>
          <w:rtl/>
        </w:rPr>
        <w:t>גרוסקופף</w:t>
      </w:r>
      <w:proofErr w:type="spellEnd"/>
      <w:r>
        <w:rPr>
          <w:rFonts w:cs="Miriam"/>
          <w:sz w:val="24"/>
          <w:szCs w:val="24"/>
          <w:u w:val="single"/>
          <w:rtl/>
        </w:rPr>
        <w:t>:</w:t>
      </w:r>
    </w:p>
    <w:p w:rsidR="000B1478" w:rsidRDefault="000B1478" w:rsidP="00A51FAE">
      <w:pPr>
        <w:pStyle w:val="Ruller40"/>
        <w:rPr>
          <w:rtl/>
        </w:rPr>
      </w:pPr>
      <w:bookmarkStart w:id="4" w:name="Start_Write"/>
      <w:bookmarkEnd w:id="4"/>
    </w:p>
    <w:p w:rsidR="0007657B" w:rsidRPr="00B71EF2" w:rsidRDefault="0007657B" w:rsidP="0007657B">
      <w:pPr>
        <w:pStyle w:val="Ruller4"/>
        <w:rPr>
          <w:rtl/>
        </w:rPr>
      </w:pPr>
      <w:r>
        <w:rPr>
          <w:rFonts w:hint="cs"/>
          <w:rtl/>
        </w:rPr>
        <w:t xml:space="preserve">כמתואר בעתירה, </w:t>
      </w:r>
      <w:r w:rsidRPr="000E1965">
        <w:rPr>
          <w:rFonts w:hint="eastAsia"/>
          <w:rtl/>
        </w:rPr>
        <w:t>במהלך</w:t>
      </w:r>
      <w:r w:rsidRPr="000E1965">
        <w:rPr>
          <w:rtl/>
        </w:rPr>
        <w:t xml:space="preserve"> </w:t>
      </w:r>
      <w:r>
        <w:rPr>
          <w:rFonts w:hint="cs"/>
          <w:rtl/>
        </w:rPr>
        <w:t>חודש ינואר 2023, במסגרת ועדת חוקה, חוק ומשפט של הכנסת, הוחל בקידומה של חקיקה הנוגעת לתפקידם של היועצת המשפטית לממשלה (להלן: "</w:t>
      </w:r>
      <w:r w:rsidRPr="00B25A5D">
        <w:rPr>
          <w:rFonts w:ascii="Century" w:hAnsi="Century" w:cs="Miriam" w:hint="cs"/>
          <w:b/>
          <w:spacing w:val="0"/>
          <w:sz w:val="22"/>
          <w:szCs w:val="24"/>
          <w:rtl/>
        </w:rPr>
        <w:t>היועצת</w:t>
      </w:r>
      <w:r>
        <w:rPr>
          <w:rFonts w:hint="cs"/>
          <w:rtl/>
        </w:rPr>
        <w:t xml:space="preserve">") והכפופים לה. הצעת החוק כוללת את הרכיבים הבאים: </w:t>
      </w:r>
      <w:r w:rsidRPr="00F419AE">
        <w:rPr>
          <w:rFonts w:hint="cs"/>
          <w:rtl/>
        </w:rPr>
        <w:t>הפיכת</w:t>
      </w:r>
      <w:r>
        <w:rPr>
          <w:rFonts w:hint="cs"/>
          <w:rtl/>
        </w:rPr>
        <w:t xml:space="preserve"> משרת היועץ המשפטי למשרדי הממשלה למשרת אמון,</w:t>
      </w:r>
      <w:r w:rsidRPr="00F419AE" w:rsidDel="00782503">
        <w:rPr>
          <w:rFonts w:hint="cs"/>
          <w:rtl/>
        </w:rPr>
        <w:t xml:space="preserve"> </w:t>
      </w:r>
      <w:r w:rsidRPr="00F419AE">
        <w:rPr>
          <w:rFonts w:hint="cs"/>
          <w:rtl/>
        </w:rPr>
        <w:t xml:space="preserve">ביטול מעמדה המחייב של חוות </w:t>
      </w:r>
      <w:r>
        <w:rPr>
          <w:rFonts w:hint="cs"/>
          <w:rtl/>
        </w:rPr>
        <w:t>ה</w:t>
      </w:r>
      <w:r w:rsidRPr="00F419AE">
        <w:rPr>
          <w:rFonts w:hint="cs"/>
          <w:rtl/>
        </w:rPr>
        <w:t xml:space="preserve">דעת </w:t>
      </w:r>
      <w:r>
        <w:rPr>
          <w:rFonts w:hint="cs"/>
          <w:rtl/>
        </w:rPr>
        <w:t xml:space="preserve">מטעם </w:t>
      </w:r>
      <w:r w:rsidRPr="00F419AE">
        <w:rPr>
          <w:rFonts w:hint="cs"/>
          <w:rtl/>
        </w:rPr>
        <w:t>היועצת</w:t>
      </w:r>
      <w:r>
        <w:rPr>
          <w:rFonts w:hint="cs"/>
          <w:rtl/>
        </w:rPr>
        <w:t>,</w:t>
      </w:r>
      <w:r w:rsidRPr="00F419AE">
        <w:rPr>
          <w:rFonts w:hint="cs"/>
          <w:rtl/>
        </w:rPr>
        <w:t xml:space="preserve"> </w:t>
      </w:r>
      <w:r>
        <w:rPr>
          <w:rFonts w:hint="cs"/>
          <w:rtl/>
        </w:rPr>
        <w:t xml:space="preserve">וכן </w:t>
      </w:r>
      <w:r w:rsidRPr="00F419AE">
        <w:rPr>
          <w:rFonts w:hint="cs"/>
          <w:rtl/>
        </w:rPr>
        <w:t>ביטול הבלעדיות ש</w:t>
      </w:r>
      <w:r>
        <w:rPr>
          <w:rFonts w:hint="cs"/>
          <w:rtl/>
        </w:rPr>
        <w:t xml:space="preserve">ל פרקליטות המדינה </w:t>
      </w:r>
      <w:r w:rsidRPr="00F419AE">
        <w:rPr>
          <w:rFonts w:hint="cs"/>
          <w:rtl/>
        </w:rPr>
        <w:t>בייצוג הממשלה בערכאות</w:t>
      </w:r>
      <w:r>
        <w:rPr>
          <w:rFonts w:hint="cs"/>
          <w:rtl/>
        </w:rPr>
        <w:t xml:space="preserve"> השיפוטיות השונות (להלן: "</w:t>
      </w:r>
      <w:r w:rsidRPr="00B25A5D">
        <w:rPr>
          <w:rFonts w:ascii="Century" w:hAnsi="Century" w:cs="Miriam" w:hint="cs"/>
          <w:b/>
          <w:spacing w:val="0"/>
          <w:sz w:val="22"/>
          <w:szCs w:val="24"/>
          <w:rtl/>
        </w:rPr>
        <w:t>הצעת החוק</w:t>
      </w:r>
      <w:r>
        <w:rPr>
          <w:rFonts w:hint="cs"/>
          <w:rtl/>
        </w:rPr>
        <w:t xml:space="preserve">"). </w:t>
      </w:r>
      <w:r w:rsidRPr="008779C4">
        <w:rPr>
          <w:rFonts w:hint="cs"/>
          <w:rtl/>
        </w:rPr>
        <w:t>הצע</w:t>
      </w:r>
      <w:r>
        <w:rPr>
          <w:rFonts w:hint="cs"/>
          <w:rtl/>
        </w:rPr>
        <w:t xml:space="preserve">ת החוק הוצגה על רקע הודעת הממשלה </w:t>
      </w:r>
      <w:r>
        <w:rPr>
          <w:rFonts w:hint="cs"/>
          <w:rtl/>
        </w:rPr>
        <w:lastRenderedPageBreak/>
        <w:t>כי בכוונתה לקדם הליכי חקיקה העוסקים ביחסים שבין הרשות השופטת לבין רשויות השלטון האחרות ("</w:t>
      </w:r>
      <w:r w:rsidRPr="000E1965">
        <w:rPr>
          <w:rFonts w:ascii="Century" w:hAnsi="Century" w:cs="Miriam" w:hint="eastAsia"/>
          <w:b/>
          <w:spacing w:val="0"/>
          <w:sz w:val="22"/>
          <w:szCs w:val="24"/>
          <w:rtl/>
        </w:rPr>
        <w:t>הליכי</w:t>
      </w:r>
      <w:r w:rsidRPr="000E1965">
        <w:rPr>
          <w:rFonts w:ascii="Century" w:hAnsi="Century" w:cs="Miriam"/>
          <w:b/>
          <w:spacing w:val="0"/>
          <w:sz w:val="22"/>
          <w:szCs w:val="24"/>
          <w:rtl/>
        </w:rPr>
        <w:t xml:space="preserve"> </w:t>
      </w:r>
      <w:r w:rsidRPr="000E1965">
        <w:rPr>
          <w:rFonts w:ascii="Century" w:hAnsi="Century" w:cs="Miriam" w:hint="eastAsia"/>
          <w:b/>
          <w:spacing w:val="0"/>
          <w:sz w:val="22"/>
          <w:szCs w:val="24"/>
          <w:rtl/>
        </w:rPr>
        <w:t>החקיקה</w:t>
      </w:r>
      <w:r>
        <w:rPr>
          <w:rFonts w:hint="cs"/>
          <w:rtl/>
        </w:rPr>
        <w:t>").</w:t>
      </w:r>
      <w:r w:rsidRPr="000E1965">
        <w:rPr>
          <w:rtl/>
        </w:rPr>
        <w:t xml:space="preserve"> </w:t>
      </w:r>
    </w:p>
    <w:p w:rsidR="0007657B" w:rsidRPr="00677996" w:rsidRDefault="0007657B" w:rsidP="0007657B">
      <w:pPr>
        <w:pStyle w:val="Ruller40"/>
      </w:pPr>
    </w:p>
    <w:p w:rsidR="0007657B" w:rsidRDefault="0007657B" w:rsidP="0007657B">
      <w:pPr>
        <w:pStyle w:val="Ruller4"/>
        <w:rPr>
          <w:rtl/>
        </w:rPr>
      </w:pPr>
      <w:r>
        <w:rPr>
          <w:rFonts w:hint="cs"/>
          <w:rtl/>
        </w:rPr>
        <w:t xml:space="preserve">העותרות טוענות כי מעורבות היועצת ומי מטעמה בדיון בהצעת החוק מעמיד אותם בניגוד עניינים מוסדי מובנה, שכן היא נועדה לצמצם את כוחם. העותרות מבססות את טענותיהן על הוראות </w:t>
      </w:r>
      <w:proofErr w:type="spellStart"/>
      <w:r>
        <w:rPr>
          <w:rFonts w:hint="cs"/>
          <w:rtl/>
        </w:rPr>
        <w:t>התקש"יר</w:t>
      </w:r>
      <w:proofErr w:type="spellEnd"/>
      <w:r>
        <w:rPr>
          <w:rFonts w:hint="cs"/>
          <w:rtl/>
        </w:rPr>
        <w:t xml:space="preserve"> כנוסחן ביום 26.2.2023, על הנחיית היועץ המשפטי לממשלה 1.1555 "</w:t>
      </w:r>
      <w:r w:rsidRPr="000E1965">
        <w:rPr>
          <w:rFonts w:ascii="Century" w:hAnsi="Century" w:hint="eastAsia"/>
          <w:sz w:val="22"/>
          <w:rtl/>
        </w:rPr>
        <w:t>עריכת</w:t>
      </w:r>
      <w:r w:rsidRPr="000E1965">
        <w:rPr>
          <w:rFonts w:ascii="Century" w:hAnsi="Century"/>
          <w:sz w:val="22"/>
          <w:rtl/>
        </w:rPr>
        <w:t xml:space="preserve"> </w:t>
      </w:r>
      <w:r w:rsidRPr="000E1965">
        <w:rPr>
          <w:rFonts w:ascii="Century" w:hAnsi="Century" w:hint="eastAsia"/>
          <w:sz w:val="22"/>
          <w:rtl/>
        </w:rPr>
        <w:t>הסדרים</w:t>
      </w:r>
      <w:r w:rsidRPr="000E1965">
        <w:rPr>
          <w:rFonts w:ascii="Century" w:hAnsi="Century"/>
          <w:sz w:val="22"/>
          <w:rtl/>
        </w:rPr>
        <w:t xml:space="preserve"> </w:t>
      </w:r>
      <w:r w:rsidRPr="000E1965">
        <w:rPr>
          <w:rFonts w:ascii="Century" w:hAnsi="Century" w:hint="eastAsia"/>
          <w:sz w:val="22"/>
          <w:rtl/>
        </w:rPr>
        <w:t>למניעת</w:t>
      </w:r>
      <w:r w:rsidRPr="000E1965">
        <w:rPr>
          <w:rFonts w:ascii="Century" w:hAnsi="Century"/>
          <w:sz w:val="22"/>
          <w:rtl/>
        </w:rPr>
        <w:t xml:space="preserve"> </w:t>
      </w:r>
      <w:r w:rsidRPr="000E1965">
        <w:rPr>
          <w:rFonts w:ascii="Century" w:hAnsi="Century" w:hint="eastAsia"/>
          <w:sz w:val="22"/>
          <w:rtl/>
        </w:rPr>
        <w:t>ניגוד</w:t>
      </w:r>
      <w:r w:rsidRPr="000E1965">
        <w:rPr>
          <w:rFonts w:ascii="Century" w:hAnsi="Century"/>
          <w:sz w:val="22"/>
          <w:rtl/>
        </w:rPr>
        <w:t xml:space="preserve"> </w:t>
      </w:r>
      <w:r w:rsidRPr="000E1965">
        <w:rPr>
          <w:rFonts w:ascii="Century" w:hAnsi="Century" w:hint="eastAsia"/>
          <w:sz w:val="22"/>
          <w:rtl/>
        </w:rPr>
        <w:t>עניינים</w:t>
      </w:r>
      <w:r w:rsidRPr="000E1965">
        <w:rPr>
          <w:rFonts w:ascii="Century" w:hAnsi="Century"/>
          <w:sz w:val="22"/>
          <w:rtl/>
        </w:rPr>
        <w:t xml:space="preserve"> </w:t>
      </w:r>
      <w:r w:rsidRPr="000E1965">
        <w:rPr>
          <w:rFonts w:ascii="Century" w:hAnsi="Century" w:hint="eastAsia"/>
          <w:sz w:val="22"/>
          <w:rtl/>
        </w:rPr>
        <w:t>בשירות</w:t>
      </w:r>
      <w:r w:rsidRPr="000E1965">
        <w:rPr>
          <w:rFonts w:ascii="Century" w:hAnsi="Century"/>
          <w:sz w:val="22"/>
          <w:rtl/>
        </w:rPr>
        <w:t xml:space="preserve"> </w:t>
      </w:r>
      <w:r w:rsidRPr="000E1965">
        <w:rPr>
          <w:rFonts w:ascii="Century" w:hAnsi="Century" w:hint="eastAsia"/>
          <w:sz w:val="22"/>
          <w:rtl/>
        </w:rPr>
        <w:t>הציבורי</w:t>
      </w:r>
      <w:r>
        <w:rPr>
          <w:rFonts w:hint="cs"/>
          <w:rtl/>
        </w:rPr>
        <w:t xml:space="preserve">" (דצמבר 2021) ועל פסיקתו של בית משפט זה. לעמדת העותרות, יש להורות ליועצת או מי מטעמה לחדול לאלתר מכל עיסוק או התערבות בהצעת החוק. </w:t>
      </w:r>
    </w:p>
    <w:p w:rsidR="0007657B" w:rsidRDefault="0007657B" w:rsidP="0007657B">
      <w:pPr>
        <w:pStyle w:val="Ruller40"/>
        <w:rPr>
          <w:rtl/>
        </w:rPr>
      </w:pPr>
      <w:r>
        <w:rPr>
          <w:rtl/>
        </w:rPr>
        <w:tab/>
      </w:r>
    </w:p>
    <w:p w:rsidR="0007657B" w:rsidRPr="00A5209D" w:rsidRDefault="0007657B" w:rsidP="0007657B">
      <w:pPr>
        <w:pStyle w:val="Ruller40"/>
        <w:rPr>
          <w:rtl/>
        </w:rPr>
      </w:pPr>
      <w:r>
        <w:rPr>
          <w:rtl/>
        </w:rPr>
        <w:tab/>
      </w:r>
      <w:r>
        <w:rPr>
          <w:rFonts w:hint="cs"/>
          <w:rtl/>
        </w:rPr>
        <w:t xml:space="preserve">העותרות מבקשות להקיש מחוות הדעת של המשנה ליועצת, ד"ר גיל לימון, מיום 1.2.2023 </w:t>
      </w:r>
      <w:r w:rsidRPr="000E1965">
        <w:rPr>
          <w:rtl/>
        </w:rPr>
        <w:t>(</w:t>
      </w:r>
      <w:r w:rsidRPr="000E1965">
        <w:rPr>
          <w:rFonts w:hint="eastAsia"/>
          <w:rtl/>
        </w:rPr>
        <w:t>להלן</w:t>
      </w:r>
      <w:r w:rsidRPr="000E1965">
        <w:rPr>
          <w:rtl/>
        </w:rPr>
        <w:t>: "</w:t>
      </w:r>
      <w:r w:rsidRPr="000E1965">
        <w:rPr>
          <w:rFonts w:ascii="Century" w:hAnsi="Century" w:cs="Miriam" w:hint="eastAsia"/>
          <w:b/>
          <w:spacing w:val="0"/>
          <w:szCs w:val="24"/>
          <w:rtl/>
        </w:rPr>
        <w:t>חוות</w:t>
      </w:r>
      <w:r w:rsidRPr="000E1965">
        <w:rPr>
          <w:rFonts w:ascii="Century" w:hAnsi="Century" w:cs="Miriam"/>
          <w:b/>
          <w:spacing w:val="0"/>
          <w:szCs w:val="24"/>
          <w:rtl/>
        </w:rPr>
        <w:t xml:space="preserve"> </w:t>
      </w:r>
      <w:r w:rsidRPr="000E1965">
        <w:rPr>
          <w:rFonts w:ascii="Century" w:hAnsi="Century" w:cs="Miriam" w:hint="eastAsia"/>
          <w:b/>
          <w:spacing w:val="0"/>
          <w:szCs w:val="24"/>
          <w:rtl/>
        </w:rPr>
        <w:t>הדעת</w:t>
      </w:r>
      <w:r w:rsidRPr="000E1965">
        <w:rPr>
          <w:rtl/>
        </w:rPr>
        <w:t>")</w:t>
      </w:r>
      <w:r>
        <w:rPr>
          <w:rFonts w:hint="cs"/>
          <w:rtl/>
        </w:rPr>
        <w:t xml:space="preserve"> לענייננו. חוות הדעת מתייחסת </w:t>
      </w:r>
      <w:proofErr w:type="spellStart"/>
      <w:r>
        <w:rPr>
          <w:rFonts w:hint="cs"/>
          <w:rtl/>
        </w:rPr>
        <w:t>למניעותו</w:t>
      </w:r>
      <w:proofErr w:type="spellEnd"/>
      <w:r>
        <w:rPr>
          <w:rFonts w:hint="cs"/>
          <w:rtl/>
        </w:rPr>
        <w:t xml:space="preserve"> של ראש הממשלה, מר בנימין נתניהו, מלעסוק בהליכי החקיקה בשל ניגוד עניינים בו הוא מצוי, הנובע מכך שאלה עשויים להיטיב עמו בכל הנוגע </w:t>
      </w:r>
      <w:r w:rsidRPr="000E1965">
        <w:rPr>
          <w:rFonts w:hint="eastAsia"/>
          <w:rtl/>
        </w:rPr>
        <w:t>להליך</w:t>
      </w:r>
      <w:r w:rsidRPr="000E1965">
        <w:rPr>
          <w:rtl/>
        </w:rPr>
        <w:t xml:space="preserve"> </w:t>
      </w:r>
      <w:r w:rsidRPr="000E1965">
        <w:rPr>
          <w:rFonts w:hint="eastAsia"/>
          <w:rtl/>
        </w:rPr>
        <w:t>הפלילי</w:t>
      </w:r>
      <w:r w:rsidRPr="000E1965">
        <w:rPr>
          <w:rtl/>
        </w:rPr>
        <w:t xml:space="preserve"> </w:t>
      </w:r>
      <w:r w:rsidRPr="000E1965">
        <w:rPr>
          <w:rFonts w:hint="eastAsia"/>
          <w:rtl/>
        </w:rPr>
        <w:t>המתנהל</w:t>
      </w:r>
      <w:r w:rsidRPr="000E1965">
        <w:rPr>
          <w:rtl/>
        </w:rPr>
        <w:t xml:space="preserve"> </w:t>
      </w:r>
      <w:r w:rsidRPr="000E1965">
        <w:rPr>
          <w:rFonts w:hint="eastAsia"/>
          <w:rtl/>
        </w:rPr>
        <w:t>בעניינו</w:t>
      </w:r>
      <w:r w:rsidRPr="000E1965">
        <w:rPr>
          <w:rtl/>
        </w:rPr>
        <w:t>.</w:t>
      </w:r>
      <w:r>
        <w:rPr>
          <w:rFonts w:hint="cs"/>
          <w:rtl/>
        </w:rPr>
        <w:t xml:space="preserve"> לטענת העותרות, משנקבע שראש הממשלה מנוע מלעסוק בהליכי החקיקה, יש לקבוע כך גם בכל הנוגע ליועצת, אשר עבודתם שלה ושל הכפופים לה תושפע מהם. מעבר לכך, לטענת העותרות, יש ליועצת אינטרס אישי של ממש בהליכי החקיקה, שכן אלה מבקשים להשפיע על הרכב הוועדה למינוי שופטים באופן שעשוי לסכל בעתיד את מועמדותה הפוטנציאלית לתפקיד שופטת בבית המשפט העליון.</w:t>
      </w:r>
    </w:p>
    <w:p w:rsidR="0007657B" w:rsidRPr="002378AF" w:rsidRDefault="0007657B" w:rsidP="0007657B">
      <w:pPr>
        <w:pStyle w:val="Ruller40"/>
        <w:rPr>
          <w:rtl/>
        </w:rPr>
      </w:pPr>
    </w:p>
    <w:p w:rsidR="0007657B" w:rsidRDefault="0007657B" w:rsidP="0007657B">
      <w:pPr>
        <w:pStyle w:val="Ruller4"/>
      </w:pPr>
      <w:r>
        <w:rPr>
          <w:rFonts w:hint="cs"/>
          <w:rtl/>
        </w:rPr>
        <w:t>דין העתירה להידחות בשל העדר עילה להתערבותו של בית משפט זה.</w:t>
      </w:r>
    </w:p>
    <w:p w:rsidR="0007657B" w:rsidRPr="006F2996" w:rsidRDefault="0007657B" w:rsidP="0007657B">
      <w:pPr>
        <w:pStyle w:val="Ruller40"/>
      </w:pPr>
    </w:p>
    <w:p w:rsidR="0007657B" w:rsidRDefault="0007657B" w:rsidP="0007657B">
      <w:pPr>
        <w:pStyle w:val="Ruller40"/>
        <w:rPr>
          <w:rtl/>
        </w:rPr>
      </w:pPr>
      <w:r>
        <w:rPr>
          <w:rtl/>
        </w:rPr>
        <w:tab/>
      </w:r>
      <w:r>
        <w:rPr>
          <w:rFonts w:hint="cs"/>
          <w:rtl/>
        </w:rPr>
        <w:t xml:space="preserve">כלל ידוע הוא בשיטתנו כי אסור לנושא משרה ציבורית להימצא במצב של ניגוד עניינים בין אינטרס ציבורי עליו הוא אמון לבין אינטרס אישי או אינטרס ציבורי אחר עליו הוא מופקד </w:t>
      </w:r>
      <w:r w:rsidRPr="00413DA0">
        <w:rPr>
          <w:rtl/>
        </w:rPr>
        <w:t>(</w:t>
      </w:r>
      <w:r w:rsidRPr="00D73D3C">
        <w:rPr>
          <w:rFonts w:hint="eastAsia"/>
          <w:rtl/>
        </w:rPr>
        <w:t>בג</w:t>
      </w:r>
      <w:r w:rsidRPr="00D73D3C">
        <w:rPr>
          <w:rtl/>
        </w:rPr>
        <w:t>"</w:t>
      </w:r>
      <w:r w:rsidRPr="00D73D3C">
        <w:rPr>
          <w:rFonts w:hint="eastAsia"/>
          <w:rtl/>
        </w:rPr>
        <w:t>ץ</w:t>
      </w:r>
      <w:r w:rsidRPr="00D73D3C">
        <w:rPr>
          <w:rtl/>
        </w:rPr>
        <w:t xml:space="preserve"> 531/79 </w:t>
      </w:r>
      <w:r w:rsidRPr="00413DA0">
        <w:rPr>
          <w:rFonts w:ascii="Century" w:hAnsi="Century" w:cs="Miriam" w:hint="eastAsia"/>
          <w:b/>
          <w:spacing w:val="0"/>
          <w:szCs w:val="24"/>
          <w:rtl/>
        </w:rPr>
        <w:t>סיעת</w:t>
      </w:r>
      <w:r w:rsidRPr="00413DA0">
        <w:rPr>
          <w:rFonts w:ascii="Century" w:hAnsi="Century" w:cs="Miriam"/>
          <w:b/>
          <w:spacing w:val="0"/>
          <w:szCs w:val="24"/>
          <w:rtl/>
        </w:rPr>
        <w:t xml:space="preserve"> </w:t>
      </w:r>
      <w:r w:rsidRPr="00413DA0">
        <w:rPr>
          <w:rFonts w:ascii="Century" w:hAnsi="Century" w:cs="Miriam" w:hint="eastAsia"/>
          <w:b/>
          <w:spacing w:val="0"/>
          <w:szCs w:val="24"/>
          <w:rtl/>
        </w:rPr>
        <w:t>הליכוד</w:t>
      </w:r>
      <w:r w:rsidRPr="00413DA0">
        <w:rPr>
          <w:rFonts w:ascii="Century" w:hAnsi="Century" w:cs="Miriam"/>
          <w:b/>
          <w:spacing w:val="0"/>
          <w:szCs w:val="24"/>
          <w:rtl/>
        </w:rPr>
        <w:t xml:space="preserve"> </w:t>
      </w:r>
      <w:r w:rsidRPr="00413DA0">
        <w:rPr>
          <w:rFonts w:ascii="Century" w:hAnsi="Century" w:cs="Miriam" w:hint="eastAsia"/>
          <w:b/>
          <w:spacing w:val="0"/>
          <w:szCs w:val="24"/>
          <w:rtl/>
        </w:rPr>
        <w:t>בעיריית</w:t>
      </w:r>
      <w:r w:rsidRPr="00413DA0">
        <w:rPr>
          <w:rFonts w:ascii="Century" w:hAnsi="Century" w:cs="Miriam"/>
          <w:b/>
          <w:spacing w:val="0"/>
          <w:szCs w:val="24"/>
          <w:rtl/>
        </w:rPr>
        <w:t xml:space="preserve"> </w:t>
      </w:r>
      <w:r w:rsidRPr="00413DA0">
        <w:rPr>
          <w:rFonts w:ascii="Century" w:hAnsi="Century" w:cs="Miriam" w:hint="eastAsia"/>
          <w:b/>
          <w:spacing w:val="0"/>
          <w:szCs w:val="24"/>
          <w:rtl/>
        </w:rPr>
        <w:t>פתח</w:t>
      </w:r>
      <w:r w:rsidRPr="00413DA0">
        <w:rPr>
          <w:rFonts w:ascii="Century" w:hAnsi="Century" w:cs="Miriam"/>
          <w:b/>
          <w:spacing w:val="0"/>
          <w:szCs w:val="24"/>
          <w:rtl/>
        </w:rPr>
        <w:t xml:space="preserve"> </w:t>
      </w:r>
      <w:r w:rsidRPr="00413DA0">
        <w:rPr>
          <w:rFonts w:ascii="Century" w:hAnsi="Century" w:cs="Miriam" w:hint="eastAsia"/>
          <w:b/>
          <w:spacing w:val="0"/>
          <w:szCs w:val="24"/>
          <w:rtl/>
        </w:rPr>
        <w:t>תקווה</w:t>
      </w:r>
      <w:r w:rsidRPr="00413DA0">
        <w:rPr>
          <w:rFonts w:ascii="Century" w:hAnsi="Century" w:cs="Miriam"/>
          <w:b/>
          <w:spacing w:val="0"/>
          <w:szCs w:val="24"/>
          <w:rtl/>
        </w:rPr>
        <w:t xml:space="preserve"> </w:t>
      </w:r>
      <w:r w:rsidRPr="00413DA0">
        <w:rPr>
          <w:rFonts w:ascii="Century" w:hAnsi="Century" w:cs="Miriam" w:hint="eastAsia"/>
          <w:b/>
          <w:spacing w:val="0"/>
          <w:szCs w:val="24"/>
          <w:rtl/>
        </w:rPr>
        <w:t>נ</w:t>
      </w:r>
      <w:r w:rsidRPr="00413DA0">
        <w:rPr>
          <w:rFonts w:ascii="Century" w:hAnsi="Century" w:cs="Miriam"/>
          <w:b/>
          <w:spacing w:val="0"/>
          <w:szCs w:val="24"/>
          <w:rtl/>
        </w:rPr>
        <w:t xml:space="preserve">' </w:t>
      </w:r>
      <w:r w:rsidRPr="00413DA0">
        <w:rPr>
          <w:rFonts w:ascii="Century" w:hAnsi="Century" w:cs="Miriam" w:hint="eastAsia"/>
          <w:b/>
          <w:spacing w:val="0"/>
          <w:szCs w:val="24"/>
          <w:rtl/>
        </w:rPr>
        <w:t>מועצת</w:t>
      </w:r>
      <w:r w:rsidRPr="00413DA0">
        <w:rPr>
          <w:rFonts w:ascii="Century" w:hAnsi="Century" w:cs="Miriam"/>
          <w:b/>
          <w:spacing w:val="0"/>
          <w:szCs w:val="24"/>
          <w:rtl/>
        </w:rPr>
        <w:t xml:space="preserve"> </w:t>
      </w:r>
      <w:r w:rsidRPr="00413DA0">
        <w:rPr>
          <w:rFonts w:ascii="Century" w:hAnsi="Century" w:cs="Miriam" w:hint="eastAsia"/>
          <w:b/>
          <w:spacing w:val="0"/>
          <w:szCs w:val="24"/>
          <w:rtl/>
        </w:rPr>
        <w:t>עיריית</w:t>
      </w:r>
      <w:r w:rsidRPr="00413DA0">
        <w:rPr>
          <w:rFonts w:ascii="Century" w:hAnsi="Century" w:cs="Miriam"/>
          <w:b/>
          <w:spacing w:val="0"/>
          <w:szCs w:val="24"/>
          <w:rtl/>
        </w:rPr>
        <w:t xml:space="preserve"> </w:t>
      </w:r>
      <w:r w:rsidRPr="00413DA0">
        <w:rPr>
          <w:rFonts w:ascii="Century" w:hAnsi="Century" w:cs="Miriam" w:hint="eastAsia"/>
          <w:b/>
          <w:spacing w:val="0"/>
          <w:szCs w:val="24"/>
          <w:rtl/>
        </w:rPr>
        <w:t>פתח</w:t>
      </w:r>
      <w:r w:rsidRPr="00413DA0">
        <w:rPr>
          <w:rFonts w:ascii="Century" w:hAnsi="Century" w:cs="Miriam"/>
          <w:b/>
          <w:spacing w:val="0"/>
          <w:szCs w:val="24"/>
          <w:rtl/>
        </w:rPr>
        <w:t xml:space="preserve"> </w:t>
      </w:r>
      <w:r w:rsidRPr="00413DA0">
        <w:rPr>
          <w:rFonts w:ascii="Century" w:hAnsi="Century" w:cs="Miriam" w:hint="eastAsia"/>
          <w:b/>
          <w:spacing w:val="0"/>
          <w:szCs w:val="24"/>
          <w:rtl/>
        </w:rPr>
        <w:t>תקווה</w:t>
      </w:r>
      <w:r w:rsidRPr="00D73D3C">
        <w:rPr>
          <w:rtl/>
        </w:rPr>
        <w:t xml:space="preserve">, </w:t>
      </w:r>
      <w:r>
        <w:rPr>
          <w:rFonts w:hint="cs"/>
          <w:rtl/>
        </w:rPr>
        <w:t xml:space="preserve">פ"ד </w:t>
      </w:r>
      <w:r w:rsidRPr="00D73D3C">
        <w:rPr>
          <w:rFonts w:hint="eastAsia"/>
          <w:rtl/>
        </w:rPr>
        <w:t>לד</w:t>
      </w:r>
      <w:r w:rsidRPr="00D73D3C">
        <w:rPr>
          <w:rtl/>
        </w:rPr>
        <w:t>(2) 566 (1980)</w:t>
      </w:r>
      <w:r>
        <w:rPr>
          <w:rFonts w:hint="cs"/>
          <w:rtl/>
        </w:rPr>
        <w:t xml:space="preserve">; </w:t>
      </w:r>
      <w:r w:rsidRPr="00D22CE3">
        <w:rPr>
          <w:rFonts w:hint="eastAsia"/>
          <w:rtl/>
        </w:rPr>
        <w:t>בג</w:t>
      </w:r>
      <w:r w:rsidRPr="00D22CE3">
        <w:rPr>
          <w:rtl/>
        </w:rPr>
        <w:t>"</w:t>
      </w:r>
      <w:r w:rsidRPr="00D22CE3">
        <w:rPr>
          <w:rFonts w:hint="eastAsia"/>
          <w:rtl/>
        </w:rPr>
        <w:t>ץ</w:t>
      </w:r>
      <w:r w:rsidRPr="00D22CE3">
        <w:rPr>
          <w:rtl/>
        </w:rPr>
        <w:t xml:space="preserve"> 3056/20 </w:t>
      </w:r>
      <w:r w:rsidRPr="00413DA0">
        <w:rPr>
          <w:rFonts w:ascii="Century" w:hAnsi="Century" w:cs="Miriam" w:hint="eastAsia"/>
          <w:b/>
          <w:spacing w:val="0"/>
          <w:szCs w:val="24"/>
          <w:rtl/>
        </w:rPr>
        <w:t>התנועה</w:t>
      </w:r>
      <w:r w:rsidRPr="00413DA0">
        <w:rPr>
          <w:rFonts w:ascii="Century" w:hAnsi="Century" w:cs="Miriam"/>
          <w:b/>
          <w:spacing w:val="0"/>
          <w:szCs w:val="24"/>
          <w:rtl/>
        </w:rPr>
        <w:t xml:space="preserve"> </w:t>
      </w:r>
      <w:r w:rsidRPr="00413DA0">
        <w:rPr>
          <w:rFonts w:ascii="Century" w:hAnsi="Century" w:cs="Miriam" w:hint="eastAsia"/>
          <w:b/>
          <w:spacing w:val="0"/>
          <w:szCs w:val="24"/>
          <w:rtl/>
        </w:rPr>
        <w:t>למען</w:t>
      </w:r>
      <w:r w:rsidRPr="00413DA0">
        <w:rPr>
          <w:rFonts w:ascii="Century" w:hAnsi="Century" w:cs="Miriam"/>
          <w:b/>
          <w:spacing w:val="0"/>
          <w:szCs w:val="24"/>
          <w:rtl/>
        </w:rPr>
        <w:t xml:space="preserve"> </w:t>
      </w:r>
      <w:r w:rsidRPr="00413DA0">
        <w:rPr>
          <w:rFonts w:ascii="Century" w:hAnsi="Century" w:cs="Miriam" w:hint="eastAsia"/>
          <w:b/>
          <w:spacing w:val="0"/>
          <w:szCs w:val="24"/>
          <w:rtl/>
        </w:rPr>
        <w:t>איכות</w:t>
      </w:r>
      <w:r w:rsidRPr="00413DA0">
        <w:rPr>
          <w:rFonts w:ascii="Century" w:hAnsi="Century" w:cs="Miriam"/>
          <w:b/>
          <w:spacing w:val="0"/>
          <w:szCs w:val="24"/>
          <w:rtl/>
        </w:rPr>
        <w:t xml:space="preserve"> </w:t>
      </w:r>
      <w:r w:rsidRPr="00413DA0">
        <w:rPr>
          <w:rFonts w:ascii="Century" w:hAnsi="Century" w:cs="Miriam" w:hint="eastAsia"/>
          <w:b/>
          <w:spacing w:val="0"/>
          <w:szCs w:val="24"/>
          <w:rtl/>
        </w:rPr>
        <w:t>השלטון</w:t>
      </w:r>
      <w:r w:rsidRPr="00413DA0">
        <w:rPr>
          <w:rFonts w:ascii="Century" w:hAnsi="Century" w:cs="Miriam"/>
          <w:b/>
          <w:spacing w:val="0"/>
          <w:szCs w:val="24"/>
          <w:rtl/>
        </w:rPr>
        <w:t xml:space="preserve"> </w:t>
      </w:r>
      <w:r w:rsidRPr="00413DA0">
        <w:rPr>
          <w:rFonts w:ascii="Century" w:hAnsi="Century" w:cs="Miriam" w:hint="eastAsia"/>
          <w:b/>
          <w:spacing w:val="0"/>
          <w:szCs w:val="24"/>
          <w:rtl/>
        </w:rPr>
        <w:t>בישראל</w:t>
      </w:r>
      <w:r w:rsidRPr="00413DA0">
        <w:rPr>
          <w:rFonts w:ascii="Century" w:hAnsi="Century" w:cs="Miriam"/>
          <w:b/>
          <w:spacing w:val="0"/>
          <w:szCs w:val="24"/>
          <w:rtl/>
        </w:rPr>
        <w:t xml:space="preserve"> </w:t>
      </w:r>
      <w:r w:rsidRPr="00413DA0">
        <w:rPr>
          <w:rFonts w:ascii="Century" w:hAnsi="Century" w:cs="Miriam" w:hint="eastAsia"/>
          <w:b/>
          <w:spacing w:val="0"/>
          <w:szCs w:val="24"/>
          <w:rtl/>
        </w:rPr>
        <w:t>נ</w:t>
      </w:r>
      <w:r w:rsidRPr="00413DA0">
        <w:rPr>
          <w:rFonts w:ascii="Century" w:hAnsi="Century" w:cs="Miriam"/>
          <w:b/>
          <w:spacing w:val="0"/>
          <w:szCs w:val="24"/>
          <w:rtl/>
        </w:rPr>
        <w:t xml:space="preserve">' </w:t>
      </w:r>
      <w:r w:rsidRPr="00413DA0">
        <w:rPr>
          <w:rFonts w:ascii="Century" w:hAnsi="Century" w:cs="Miriam" w:hint="eastAsia"/>
          <w:b/>
          <w:spacing w:val="0"/>
          <w:szCs w:val="24"/>
          <w:rtl/>
        </w:rPr>
        <w:t>היועץ</w:t>
      </w:r>
      <w:r w:rsidRPr="00413DA0">
        <w:rPr>
          <w:rFonts w:ascii="Century" w:hAnsi="Century" w:cs="Miriam"/>
          <w:b/>
          <w:spacing w:val="0"/>
          <w:szCs w:val="24"/>
          <w:rtl/>
        </w:rPr>
        <w:t xml:space="preserve"> </w:t>
      </w:r>
      <w:r w:rsidRPr="00413DA0">
        <w:rPr>
          <w:rFonts w:ascii="Century" w:hAnsi="Century" w:cs="Miriam" w:hint="eastAsia"/>
          <w:b/>
          <w:spacing w:val="0"/>
          <w:szCs w:val="24"/>
          <w:rtl/>
        </w:rPr>
        <w:t>המשפטי</w:t>
      </w:r>
      <w:r w:rsidRPr="00413DA0">
        <w:rPr>
          <w:rFonts w:ascii="Century" w:hAnsi="Century" w:cs="Miriam"/>
          <w:b/>
          <w:spacing w:val="0"/>
          <w:szCs w:val="24"/>
          <w:rtl/>
        </w:rPr>
        <w:t xml:space="preserve"> </w:t>
      </w:r>
      <w:r w:rsidRPr="00413DA0">
        <w:rPr>
          <w:rFonts w:ascii="Century" w:hAnsi="Century" w:cs="Miriam" w:hint="eastAsia"/>
          <w:b/>
          <w:spacing w:val="0"/>
          <w:szCs w:val="24"/>
          <w:rtl/>
        </w:rPr>
        <w:t>לממשלה</w:t>
      </w:r>
      <w:r>
        <w:rPr>
          <w:rFonts w:hint="cs"/>
          <w:rtl/>
        </w:rPr>
        <w:t>, פסקה 20</w:t>
      </w:r>
      <w:r w:rsidRPr="00D22CE3">
        <w:rPr>
          <w:rtl/>
        </w:rPr>
        <w:t xml:space="preserve"> (25.3.2021)</w:t>
      </w:r>
      <w:r>
        <w:rPr>
          <w:rFonts w:hint="cs"/>
          <w:rtl/>
        </w:rPr>
        <w:t xml:space="preserve">; </w:t>
      </w:r>
      <w:r w:rsidRPr="0084123C">
        <w:rPr>
          <w:rFonts w:hint="eastAsia"/>
          <w:rtl/>
        </w:rPr>
        <w:t>דפנה</w:t>
      </w:r>
      <w:r w:rsidRPr="0084123C">
        <w:rPr>
          <w:rtl/>
        </w:rPr>
        <w:t xml:space="preserve"> </w:t>
      </w:r>
      <w:r w:rsidRPr="0084123C">
        <w:rPr>
          <w:rFonts w:hint="eastAsia"/>
          <w:rtl/>
        </w:rPr>
        <w:t>ברק</w:t>
      </w:r>
      <w:r w:rsidRPr="0084123C">
        <w:rPr>
          <w:rtl/>
        </w:rPr>
        <w:t>-</w:t>
      </w:r>
      <w:r w:rsidRPr="0084123C">
        <w:rPr>
          <w:rFonts w:hint="eastAsia"/>
          <w:rtl/>
        </w:rPr>
        <w:t>ארז</w:t>
      </w:r>
      <w:r w:rsidRPr="0084123C">
        <w:rPr>
          <w:rtl/>
        </w:rPr>
        <w:t xml:space="preserve"> </w:t>
      </w:r>
      <w:r w:rsidRPr="00413DA0">
        <w:rPr>
          <w:rFonts w:ascii="Century" w:hAnsi="Century" w:cs="Miriam" w:hint="eastAsia"/>
          <w:b/>
          <w:spacing w:val="0"/>
          <w:szCs w:val="24"/>
          <w:rtl/>
        </w:rPr>
        <w:t>משפט</w:t>
      </w:r>
      <w:r w:rsidRPr="00413DA0">
        <w:rPr>
          <w:rFonts w:ascii="Century" w:hAnsi="Century" w:cs="Miriam"/>
          <w:b/>
          <w:spacing w:val="0"/>
          <w:szCs w:val="24"/>
          <w:rtl/>
        </w:rPr>
        <w:t xml:space="preserve"> </w:t>
      </w:r>
      <w:proofErr w:type="spellStart"/>
      <w:r w:rsidRPr="00413DA0">
        <w:rPr>
          <w:rFonts w:ascii="Century" w:hAnsi="Century" w:cs="Miriam" w:hint="eastAsia"/>
          <w:b/>
          <w:spacing w:val="0"/>
          <w:szCs w:val="24"/>
          <w:rtl/>
        </w:rPr>
        <w:t>מינהלי</w:t>
      </w:r>
      <w:proofErr w:type="spellEnd"/>
      <w:r w:rsidRPr="0084123C">
        <w:rPr>
          <w:rtl/>
        </w:rPr>
        <w:t xml:space="preserve"> </w:t>
      </w:r>
      <w:r w:rsidRPr="0084123C">
        <w:rPr>
          <w:rFonts w:hint="eastAsia"/>
          <w:rtl/>
        </w:rPr>
        <w:t>כרך</w:t>
      </w:r>
      <w:r w:rsidRPr="0084123C">
        <w:rPr>
          <w:rtl/>
        </w:rPr>
        <w:t xml:space="preserve"> </w:t>
      </w:r>
      <w:r w:rsidRPr="0084123C">
        <w:rPr>
          <w:rFonts w:hint="eastAsia"/>
          <w:rtl/>
        </w:rPr>
        <w:t>א</w:t>
      </w:r>
      <w:r w:rsidRPr="0084123C">
        <w:rPr>
          <w:rtl/>
        </w:rPr>
        <w:t xml:space="preserve"> 53</w:t>
      </w:r>
      <w:r>
        <w:rPr>
          <w:rFonts w:hint="cs"/>
          <w:rtl/>
        </w:rPr>
        <w:t>0</w:t>
      </w:r>
      <w:r w:rsidRPr="0084123C">
        <w:rPr>
          <w:rtl/>
        </w:rPr>
        <w:t xml:space="preserve"> (2010)</w:t>
      </w:r>
      <w:r w:rsidRPr="00413DA0">
        <w:rPr>
          <w:rtl/>
        </w:rPr>
        <w:t>).</w:t>
      </w:r>
      <w:r>
        <w:rPr>
          <w:rFonts w:hint="cs"/>
          <w:rtl/>
        </w:rPr>
        <w:t xml:space="preserve"> ויובהר, על שני סוגים של ניגודי עניינים של עובדי ציבור שמענו, ועל שלישי אין אנו יודעים. הראשון הוא ניגוד עניינים שבין אינטרס פרטי של עובד הציבור לבין האינטרס הציבורי עליו הוא מופקד (להלן: </w:t>
      </w:r>
      <w:r w:rsidRPr="004B44F4">
        <w:rPr>
          <w:rFonts w:ascii="Century" w:hAnsi="Century" w:cs="Miriam" w:hint="cs"/>
          <w:b/>
          <w:spacing w:val="0"/>
          <w:szCs w:val="24"/>
          <w:rtl/>
        </w:rPr>
        <w:t xml:space="preserve">ניגוד עניינים </w:t>
      </w:r>
      <w:r>
        <w:rPr>
          <w:rFonts w:ascii="Century" w:hAnsi="Century" w:cs="Miriam" w:hint="cs"/>
          <w:b/>
          <w:spacing w:val="0"/>
          <w:szCs w:val="24"/>
          <w:rtl/>
        </w:rPr>
        <w:t>אישי</w:t>
      </w:r>
      <w:r>
        <w:rPr>
          <w:rFonts w:hint="cs"/>
          <w:rtl/>
        </w:rPr>
        <w:t xml:space="preserve">). השני הוא ניגוד עניינים בין שני תפקידים ציבוריים שונים המטופלים על ידי אותו עובד הציבור </w:t>
      </w:r>
      <w:r>
        <w:rPr>
          <w:rtl/>
        </w:rPr>
        <w:t>–</w:t>
      </w:r>
      <w:r>
        <w:rPr>
          <w:rFonts w:hint="cs"/>
          <w:rtl/>
        </w:rPr>
        <w:t xml:space="preserve"> כאשר האחד מתנגש באחר (להלן: </w:t>
      </w:r>
      <w:r w:rsidRPr="004B44F4">
        <w:rPr>
          <w:rFonts w:ascii="Century" w:hAnsi="Century" w:cs="Miriam" w:hint="cs"/>
          <w:b/>
          <w:spacing w:val="0"/>
          <w:szCs w:val="24"/>
          <w:rtl/>
        </w:rPr>
        <w:t xml:space="preserve">ניגוד עניינים </w:t>
      </w:r>
      <w:r>
        <w:rPr>
          <w:rFonts w:ascii="Century" w:hAnsi="Century" w:cs="Miriam" w:hint="cs"/>
          <w:b/>
          <w:spacing w:val="0"/>
          <w:szCs w:val="24"/>
          <w:rtl/>
        </w:rPr>
        <w:t>מוסדי</w:t>
      </w:r>
      <w:r>
        <w:rPr>
          <w:rFonts w:hint="cs"/>
          <w:rtl/>
        </w:rPr>
        <w:t xml:space="preserve">). השלישי, אשר אינו מוכר, מאחר שאינו מהווה כלל ניגוד עניינים, מצוי כל כולו בתחומיו של אותו תפקיד ציבורי עצמו. אבהיר. </w:t>
      </w:r>
    </w:p>
    <w:p w:rsidR="0007657B" w:rsidRDefault="0007657B" w:rsidP="0007657B">
      <w:pPr>
        <w:pStyle w:val="Ruller40"/>
        <w:rPr>
          <w:rtl/>
        </w:rPr>
      </w:pPr>
    </w:p>
    <w:p w:rsidR="0007657B" w:rsidRDefault="0007657B" w:rsidP="0007657B">
      <w:pPr>
        <w:pStyle w:val="Ruller40"/>
        <w:rPr>
          <w:rtl/>
        </w:rPr>
      </w:pPr>
      <w:r>
        <w:rPr>
          <w:rtl/>
        </w:rPr>
        <w:tab/>
      </w:r>
      <w:r>
        <w:rPr>
          <w:rFonts w:hint="cs"/>
          <w:rtl/>
        </w:rPr>
        <w:t>כאשר מגיעה לשולחנו של עובד ציבור סוגיה הנוגעת לו באופן אישי (כגון מינוי בן משפחה מדרגה ראשונה, הרי שהוא מצוי בניגוד עניינים אישי (</w:t>
      </w:r>
      <w:r w:rsidRPr="008454B3">
        <w:rPr>
          <w:rFonts w:hint="eastAsia"/>
          <w:rtl/>
        </w:rPr>
        <w:t>בג</w:t>
      </w:r>
      <w:r w:rsidRPr="008454B3">
        <w:rPr>
          <w:rtl/>
        </w:rPr>
        <w:t>"</w:t>
      </w:r>
      <w:r w:rsidRPr="008454B3">
        <w:rPr>
          <w:rFonts w:hint="eastAsia"/>
          <w:rtl/>
        </w:rPr>
        <w:t>ץ</w:t>
      </w:r>
      <w:r w:rsidRPr="008454B3">
        <w:rPr>
          <w:rtl/>
        </w:rPr>
        <w:t xml:space="preserve"> 11269/03 </w:t>
      </w:r>
      <w:proofErr w:type="spellStart"/>
      <w:r w:rsidRPr="0080200D">
        <w:rPr>
          <w:rFonts w:ascii="Century" w:hAnsi="Century" w:cs="Miriam" w:hint="eastAsia"/>
          <w:b/>
          <w:spacing w:val="0"/>
          <w:szCs w:val="24"/>
          <w:rtl/>
        </w:rPr>
        <w:t>כמאל</w:t>
      </w:r>
      <w:proofErr w:type="spellEnd"/>
      <w:r w:rsidRPr="0080200D">
        <w:rPr>
          <w:rFonts w:ascii="Century" w:hAnsi="Century" w:cs="Miriam"/>
          <w:b/>
          <w:spacing w:val="0"/>
          <w:szCs w:val="24"/>
          <w:rtl/>
        </w:rPr>
        <w:t xml:space="preserve"> </w:t>
      </w:r>
      <w:r w:rsidRPr="0080200D">
        <w:rPr>
          <w:rFonts w:ascii="Century" w:hAnsi="Century" w:cs="Miriam" w:hint="eastAsia"/>
          <w:b/>
          <w:spacing w:val="0"/>
          <w:szCs w:val="24"/>
          <w:rtl/>
        </w:rPr>
        <w:t>נ</w:t>
      </w:r>
      <w:r w:rsidRPr="0080200D">
        <w:rPr>
          <w:rFonts w:ascii="Century" w:hAnsi="Century" w:cs="Miriam"/>
          <w:b/>
          <w:spacing w:val="0"/>
          <w:szCs w:val="24"/>
          <w:rtl/>
        </w:rPr>
        <w:t xml:space="preserve">' </w:t>
      </w:r>
      <w:r w:rsidRPr="0080200D">
        <w:rPr>
          <w:rFonts w:ascii="Century" w:hAnsi="Century" w:cs="Miriam" w:hint="eastAsia"/>
          <w:b/>
          <w:spacing w:val="0"/>
          <w:szCs w:val="24"/>
          <w:rtl/>
        </w:rPr>
        <w:t>שר</w:t>
      </w:r>
      <w:r w:rsidRPr="0080200D">
        <w:rPr>
          <w:rFonts w:ascii="Century" w:hAnsi="Century" w:cs="Miriam"/>
          <w:b/>
          <w:spacing w:val="0"/>
          <w:szCs w:val="24"/>
          <w:rtl/>
        </w:rPr>
        <w:t xml:space="preserve"> </w:t>
      </w:r>
      <w:r w:rsidRPr="0080200D">
        <w:rPr>
          <w:rFonts w:ascii="Century" w:hAnsi="Century" w:cs="Miriam" w:hint="eastAsia"/>
          <w:b/>
          <w:spacing w:val="0"/>
          <w:szCs w:val="24"/>
          <w:rtl/>
        </w:rPr>
        <w:t>המשפטים</w:t>
      </w:r>
      <w:r w:rsidRPr="008454B3">
        <w:rPr>
          <w:rtl/>
        </w:rPr>
        <w:t xml:space="preserve">, </w:t>
      </w:r>
      <w:r w:rsidRPr="008454B3">
        <w:rPr>
          <w:rFonts w:hint="eastAsia"/>
          <w:rtl/>
        </w:rPr>
        <w:t>נט</w:t>
      </w:r>
      <w:r w:rsidRPr="008454B3">
        <w:rPr>
          <w:rtl/>
        </w:rPr>
        <w:t>(3) 205</w:t>
      </w:r>
      <w:r>
        <w:rPr>
          <w:rFonts w:hint="cs"/>
          <w:rtl/>
        </w:rPr>
        <w:t>, 220</w:t>
      </w:r>
      <w:r w:rsidRPr="008454B3">
        <w:rPr>
          <w:rtl/>
        </w:rPr>
        <w:t xml:space="preserve"> (2004)</w:t>
      </w:r>
      <w:r>
        <w:rPr>
          <w:rFonts w:hint="cs"/>
          <w:rtl/>
        </w:rPr>
        <w:t xml:space="preserve">; ובדומה: </w:t>
      </w:r>
      <w:r w:rsidRPr="00B236FF">
        <w:rPr>
          <w:rFonts w:hint="eastAsia"/>
          <w:rtl/>
        </w:rPr>
        <w:t>בג</w:t>
      </w:r>
      <w:r w:rsidRPr="00B236FF">
        <w:rPr>
          <w:rtl/>
        </w:rPr>
        <w:t>"</w:t>
      </w:r>
      <w:r w:rsidRPr="00B236FF">
        <w:rPr>
          <w:rFonts w:hint="eastAsia"/>
          <w:rtl/>
        </w:rPr>
        <w:t>ץ</w:t>
      </w:r>
      <w:r w:rsidRPr="00B236FF">
        <w:rPr>
          <w:rtl/>
        </w:rPr>
        <w:t xml:space="preserve"> 333/74 </w:t>
      </w:r>
      <w:r w:rsidRPr="0080200D">
        <w:rPr>
          <w:rFonts w:ascii="Century" w:hAnsi="Century" w:cs="Miriam" w:hint="eastAsia"/>
          <w:b/>
          <w:spacing w:val="0"/>
          <w:szCs w:val="24"/>
          <w:rtl/>
        </w:rPr>
        <w:t>חג</w:t>
      </w:r>
      <w:r w:rsidRPr="0080200D">
        <w:rPr>
          <w:rFonts w:ascii="Century" w:hAnsi="Century" w:cs="Miriam"/>
          <w:b/>
          <w:spacing w:val="0"/>
          <w:szCs w:val="24"/>
          <w:rtl/>
        </w:rPr>
        <w:t xml:space="preserve">' </w:t>
      </w:r>
      <w:r w:rsidRPr="0080200D">
        <w:rPr>
          <w:rFonts w:ascii="Century" w:hAnsi="Century" w:cs="Miriam" w:hint="eastAsia"/>
          <w:b/>
          <w:spacing w:val="0"/>
          <w:szCs w:val="24"/>
          <w:rtl/>
        </w:rPr>
        <w:t>יחיא</w:t>
      </w:r>
      <w:r w:rsidRPr="0080200D">
        <w:rPr>
          <w:rFonts w:ascii="Century" w:hAnsi="Century" w:cs="Miriam"/>
          <w:b/>
          <w:spacing w:val="0"/>
          <w:szCs w:val="24"/>
          <w:rtl/>
        </w:rPr>
        <w:t xml:space="preserve"> </w:t>
      </w:r>
      <w:r w:rsidRPr="0080200D">
        <w:rPr>
          <w:rFonts w:ascii="Century" w:hAnsi="Century" w:cs="Miriam" w:hint="eastAsia"/>
          <w:b/>
          <w:spacing w:val="0"/>
          <w:szCs w:val="24"/>
          <w:rtl/>
        </w:rPr>
        <w:t>נ</w:t>
      </w:r>
      <w:r w:rsidRPr="0080200D">
        <w:rPr>
          <w:rFonts w:ascii="Century" w:hAnsi="Century" w:cs="Miriam"/>
          <w:b/>
          <w:spacing w:val="0"/>
          <w:szCs w:val="24"/>
          <w:rtl/>
        </w:rPr>
        <w:t xml:space="preserve">' </w:t>
      </w:r>
      <w:r w:rsidRPr="0080200D">
        <w:rPr>
          <w:rFonts w:ascii="Century" w:hAnsi="Century" w:cs="Miriam" w:hint="eastAsia"/>
          <w:b/>
          <w:spacing w:val="0"/>
          <w:szCs w:val="24"/>
          <w:rtl/>
        </w:rPr>
        <w:t>המועצה</w:t>
      </w:r>
      <w:r w:rsidRPr="0080200D">
        <w:rPr>
          <w:rFonts w:ascii="Century" w:hAnsi="Century" w:cs="Miriam"/>
          <w:b/>
          <w:spacing w:val="0"/>
          <w:szCs w:val="24"/>
          <w:rtl/>
        </w:rPr>
        <w:t xml:space="preserve"> </w:t>
      </w:r>
      <w:r w:rsidRPr="0080200D">
        <w:rPr>
          <w:rFonts w:ascii="Century" w:hAnsi="Century" w:cs="Miriam" w:hint="eastAsia"/>
          <w:b/>
          <w:spacing w:val="0"/>
          <w:szCs w:val="24"/>
          <w:rtl/>
        </w:rPr>
        <w:t>המקומית</w:t>
      </w:r>
      <w:r w:rsidRPr="0080200D">
        <w:rPr>
          <w:rFonts w:ascii="Century" w:hAnsi="Century" w:cs="Miriam"/>
          <w:b/>
          <w:spacing w:val="0"/>
          <w:szCs w:val="24"/>
          <w:rtl/>
        </w:rPr>
        <w:t xml:space="preserve"> </w:t>
      </w:r>
      <w:r w:rsidRPr="0080200D">
        <w:rPr>
          <w:rFonts w:ascii="Century" w:hAnsi="Century" w:cs="Miriam" w:hint="eastAsia"/>
          <w:b/>
          <w:spacing w:val="0"/>
          <w:szCs w:val="24"/>
          <w:rtl/>
        </w:rPr>
        <w:t>טייבה</w:t>
      </w:r>
      <w:r w:rsidRPr="00B236FF">
        <w:rPr>
          <w:rtl/>
        </w:rPr>
        <w:t xml:space="preserve">, </w:t>
      </w:r>
      <w:proofErr w:type="spellStart"/>
      <w:r w:rsidRPr="00B236FF">
        <w:rPr>
          <w:rFonts w:hint="eastAsia"/>
          <w:rtl/>
        </w:rPr>
        <w:t>כט</w:t>
      </w:r>
      <w:proofErr w:type="spellEnd"/>
      <w:r w:rsidRPr="00B236FF">
        <w:rPr>
          <w:rtl/>
        </w:rPr>
        <w:t>(1) 457</w:t>
      </w:r>
      <w:r>
        <w:rPr>
          <w:rFonts w:hint="cs"/>
          <w:rtl/>
        </w:rPr>
        <w:t>, 462</w:t>
      </w:r>
      <w:r w:rsidRPr="00B236FF">
        <w:rPr>
          <w:rtl/>
        </w:rPr>
        <w:t xml:space="preserve"> (1974)</w:t>
      </w:r>
      <w:r>
        <w:rPr>
          <w:rFonts w:hint="cs"/>
          <w:rtl/>
        </w:rPr>
        <w:t xml:space="preserve">). כאשר מתגלגלת לשולחנו שאלה ציבורית, אשר נוגעת לשני כובעים ציבוריים שונים אותם חובש עובד הציבור (כגון היותו מכהן כראש מועצה מקומית אחת וכחבר במועצה מקומית אחרת. ראו </w:t>
      </w:r>
      <w:r w:rsidRPr="00007BB5">
        <w:rPr>
          <w:rFonts w:hint="eastAsia"/>
          <w:rtl/>
        </w:rPr>
        <w:t>בג</w:t>
      </w:r>
      <w:r w:rsidRPr="00007BB5">
        <w:rPr>
          <w:rtl/>
        </w:rPr>
        <w:t>"</w:t>
      </w:r>
      <w:r w:rsidRPr="00007BB5">
        <w:rPr>
          <w:rFonts w:hint="eastAsia"/>
          <w:rtl/>
        </w:rPr>
        <w:t>ץ</w:t>
      </w:r>
      <w:r w:rsidRPr="00007BB5">
        <w:rPr>
          <w:rtl/>
        </w:rPr>
        <w:t xml:space="preserve"> 244/86 </w:t>
      </w:r>
      <w:r w:rsidRPr="0073693E">
        <w:rPr>
          <w:rFonts w:ascii="Century" w:hAnsi="Century" w:cs="Miriam" w:hint="eastAsia"/>
          <w:b/>
          <w:spacing w:val="0"/>
          <w:szCs w:val="24"/>
          <w:rtl/>
        </w:rPr>
        <w:t>רביבו</w:t>
      </w:r>
      <w:r w:rsidRPr="0073693E">
        <w:rPr>
          <w:rFonts w:ascii="Century" w:hAnsi="Century" w:cs="Miriam"/>
          <w:b/>
          <w:spacing w:val="0"/>
          <w:szCs w:val="24"/>
          <w:rtl/>
        </w:rPr>
        <w:t xml:space="preserve"> </w:t>
      </w:r>
      <w:r w:rsidRPr="0073693E">
        <w:rPr>
          <w:rFonts w:ascii="Century" w:hAnsi="Century" w:cs="Miriam" w:hint="eastAsia"/>
          <w:b/>
          <w:spacing w:val="0"/>
          <w:szCs w:val="24"/>
          <w:rtl/>
        </w:rPr>
        <w:t>נ</w:t>
      </w:r>
      <w:r w:rsidRPr="0073693E">
        <w:rPr>
          <w:rFonts w:ascii="Century" w:hAnsi="Century" w:cs="Miriam"/>
          <w:b/>
          <w:spacing w:val="0"/>
          <w:szCs w:val="24"/>
          <w:rtl/>
        </w:rPr>
        <w:t xml:space="preserve">' </w:t>
      </w:r>
      <w:r w:rsidRPr="0073693E">
        <w:rPr>
          <w:rFonts w:ascii="Century" w:hAnsi="Century" w:cs="Miriam" w:hint="eastAsia"/>
          <w:b/>
          <w:spacing w:val="0"/>
          <w:szCs w:val="24"/>
          <w:rtl/>
        </w:rPr>
        <w:t>ראש</w:t>
      </w:r>
      <w:r w:rsidRPr="0073693E">
        <w:rPr>
          <w:rFonts w:ascii="Century" w:hAnsi="Century" w:cs="Miriam"/>
          <w:b/>
          <w:spacing w:val="0"/>
          <w:szCs w:val="24"/>
          <w:rtl/>
        </w:rPr>
        <w:t xml:space="preserve"> </w:t>
      </w:r>
      <w:r w:rsidRPr="0073693E">
        <w:rPr>
          <w:rFonts w:ascii="Century" w:hAnsi="Century" w:cs="Miriam" w:hint="eastAsia"/>
          <w:b/>
          <w:spacing w:val="0"/>
          <w:szCs w:val="24"/>
          <w:rtl/>
        </w:rPr>
        <w:t>המועצה</w:t>
      </w:r>
      <w:r w:rsidRPr="0073693E">
        <w:rPr>
          <w:rFonts w:ascii="Century" w:hAnsi="Century" w:cs="Miriam"/>
          <w:b/>
          <w:spacing w:val="0"/>
          <w:szCs w:val="24"/>
          <w:rtl/>
        </w:rPr>
        <w:t xml:space="preserve"> </w:t>
      </w:r>
      <w:r w:rsidRPr="0073693E">
        <w:rPr>
          <w:rFonts w:ascii="Century" w:hAnsi="Century" w:cs="Miriam" w:hint="eastAsia"/>
          <w:b/>
          <w:spacing w:val="0"/>
          <w:szCs w:val="24"/>
          <w:rtl/>
        </w:rPr>
        <w:t>המקומית</w:t>
      </w:r>
      <w:r w:rsidRPr="0073693E">
        <w:rPr>
          <w:rFonts w:ascii="Century" w:hAnsi="Century" w:cs="Miriam"/>
          <w:b/>
          <w:spacing w:val="0"/>
          <w:szCs w:val="24"/>
          <w:rtl/>
        </w:rPr>
        <w:t xml:space="preserve"> </w:t>
      </w:r>
      <w:r w:rsidRPr="0073693E">
        <w:rPr>
          <w:rFonts w:ascii="Century" w:hAnsi="Century" w:cs="Miriam" w:hint="eastAsia"/>
          <w:b/>
          <w:spacing w:val="0"/>
          <w:szCs w:val="24"/>
          <w:rtl/>
        </w:rPr>
        <w:t>אופקים</w:t>
      </w:r>
      <w:r w:rsidRPr="00007BB5">
        <w:rPr>
          <w:rtl/>
        </w:rPr>
        <w:t xml:space="preserve">, </w:t>
      </w:r>
      <w:proofErr w:type="spellStart"/>
      <w:r w:rsidRPr="00007BB5">
        <w:rPr>
          <w:rFonts w:hint="eastAsia"/>
          <w:rtl/>
        </w:rPr>
        <w:t>מב</w:t>
      </w:r>
      <w:proofErr w:type="spellEnd"/>
      <w:r w:rsidRPr="00007BB5">
        <w:rPr>
          <w:rtl/>
        </w:rPr>
        <w:t>(3) 183 (1988)</w:t>
      </w:r>
      <w:r>
        <w:rPr>
          <w:rFonts w:hint="cs"/>
          <w:rtl/>
        </w:rPr>
        <w:t xml:space="preserve">), הרי שזהו ניגוד עניינים מוסדי. לעומת זאת, כאשר במסגרת תפקידו נדרש עובד ציבור לטפל בסוגיה הנוגעת לכובעו הציבורי, ואפילו תהיה זו שאלה נכבדה אשר תשליך על אופי ואופן תפקודו בעתיד, אין לפנינו כלל ניגוד עניינים. כך, למשל, הרמטכ"ל איננו מנוע מלעסוק בהצעות המשפיעות על תפקוד הצבא, ובכלל זה הצעות הנוגעות להיקף סמכויותיו או לתנאי השירות של המשרתים בצה"ל; נגיד בנק ישראל אינו חסום מלעסוק בסוגיות הנוגעות לתפקידיו וסמכויותיו של בנק ישראל, לתקציבו או לתנאי העבודה של עובדיו; וכן הלאה. נהפוך הוא, חובתו של משרת הציבור לעסוק בנושאים אלה, ולהציג את עמדתו המקצועית לגביהם </w:t>
      </w:r>
      <w:r>
        <w:rPr>
          <w:rtl/>
        </w:rPr>
        <w:t>–</w:t>
      </w:r>
      <w:r>
        <w:rPr>
          <w:rFonts w:hint="cs"/>
          <w:rtl/>
        </w:rPr>
        <w:t xml:space="preserve"> לחייב, לשלול או להותיר לשיקול דעת. </w:t>
      </w:r>
    </w:p>
    <w:p w:rsidR="0007657B" w:rsidRDefault="0007657B" w:rsidP="0007657B">
      <w:pPr>
        <w:pStyle w:val="Ruller40"/>
        <w:rPr>
          <w:rtl/>
        </w:rPr>
      </w:pPr>
    </w:p>
    <w:p w:rsidR="0007657B" w:rsidRDefault="0007657B" w:rsidP="0007657B">
      <w:pPr>
        <w:pStyle w:val="Ruller40"/>
        <w:rPr>
          <w:rtl/>
        </w:rPr>
      </w:pPr>
      <w:r>
        <w:rPr>
          <w:rtl/>
        </w:rPr>
        <w:tab/>
      </w:r>
      <w:r>
        <w:rPr>
          <w:rFonts w:hint="cs"/>
          <w:rtl/>
        </w:rPr>
        <w:t xml:space="preserve">כך, למשל, הרמטכ"ל אינו רשאי להדיר עצמו מהדיון בהצעה להעביר סמכות מסוימת מצה"ל לגורם ביטחוני אחר, ונגיד בנק ישראל נדרש להתייחס לשאלה אם קביעת הריבית צריכה להיות נתונה בסמכות בנק ישראל או להיקבע על ידי גורם אחר. פשיטא כי עיסוקם של הרמטכ"ל והנגיד בסוגיות אלה אינו נגוע בכל ניגוד עניינים </w:t>
      </w:r>
      <w:r>
        <w:rPr>
          <w:rtl/>
        </w:rPr>
        <w:t>–</w:t>
      </w:r>
      <w:r>
        <w:rPr>
          <w:rFonts w:hint="cs"/>
          <w:rtl/>
        </w:rPr>
        <w:t xml:space="preserve"> הוא משקף את סמכותם וחובתם לעסוק בנושאים המקצועיים המצויים בתחום אחריותם. העובדה שלהחלטה שתתקבל יש, או עשויה להיות, השלכה על האופן בו ידרשו בעתיד למלא את תפקידם, לא רק שאינה יוצרת ניגוד עניינים, אלא שהיא העומדת בליבת חובתם להביע את עמדתם המקצועית בנושא </w:t>
      </w:r>
      <w:r>
        <w:rPr>
          <w:rtl/>
        </w:rPr>
        <w:t>–</w:t>
      </w:r>
      <w:r>
        <w:rPr>
          <w:rFonts w:hint="cs"/>
          <w:rtl/>
        </w:rPr>
        <w:t xml:space="preserve"> להתריע כשנדרש; לתמוך כשרצוי; להיוותר ניטראלי כשצריך וכשמתאפשר. </w:t>
      </w:r>
    </w:p>
    <w:p w:rsidR="0007657B" w:rsidRDefault="0007657B" w:rsidP="0007657B">
      <w:pPr>
        <w:pStyle w:val="Ruller40"/>
        <w:rPr>
          <w:rtl/>
        </w:rPr>
      </w:pPr>
    </w:p>
    <w:p w:rsidR="0007657B" w:rsidRDefault="0007657B" w:rsidP="0007657B">
      <w:pPr>
        <w:pStyle w:val="Ruller4"/>
      </w:pPr>
      <w:r>
        <w:rPr>
          <w:rFonts w:hint="cs"/>
          <w:rtl/>
        </w:rPr>
        <w:t xml:space="preserve">בענייננו, העותרות טוענות כי בכל הנוגע למעורבות בהליכי החקיקה ככלל ובקידומה של הצעת </w:t>
      </w:r>
      <w:r w:rsidRPr="0023164D">
        <w:rPr>
          <w:rFonts w:ascii="Century" w:hAnsi="Century" w:hint="cs"/>
          <w:sz w:val="22"/>
          <w:rtl/>
        </w:rPr>
        <w:t xml:space="preserve">החוק בפרט, היועצת נגועה הן </w:t>
      </w:r>
      <w:r w:rsidRPr="0023164D">
        <w:rPr>
          <w:rFonts w:ascii="Century" w:hAnsi="Century" w:hint="eastAsia"/>
          <w:sz w:val="22"/>
          <w:rtl/>
        </w:rPr>
        <w:t>ב</w:t>
      </w:r>
      <w:r w:rsidRPr="0023164D">
        <w:rPr>
          <w:rFonts w:ascii="Century" w:hAnsi="Century" w:hint="cs"/>
          <w:sz w:val="22"/>
          <w:rtl/>
        </w:rPr>
        <w:t>ניגוד עניינים מוסדי</w:t>
      </w:r>
      <w:r>
        <w:rPr>
          <w:rFonts w:ascii="Century" w:hAnsi="Century" w:hint="cs"/>
          <w:sz w:val="22"/>
          <w:rtl/>
        </w:rPr>
        <w:t xml:space="preserve"> והן בניגוד עניינים אישי</w:t>
      </w:r>
      <w:r w:rsidRPr="0023164D">
        <w:rPr>
          <w:rFonts w:ascii="Century" w:hAnsi="Century" w:hint="cs"/>
          <w:sz w:val="22"/>
          <w:rtl/>
        </w:rPr>
        <w:t xml:space="preserve">. כמובהר לעיל, </w:t>
      </w:r>
      <w:r w:rsidRPr="00D95F6B">
        <w:rPr>
          <w:rFonts w:hint="cs"/>
          <w:rtl/>
        </w:rPr>
        <w:t xml:space="preserve">ניגוד </w:t>
      </w:r>
      <w:r>
        <w:rPr>
          <w:rFonts w:hint="cs"/>
          <w:rtl/>
        </w:rPr>
        <w:t>עניינים מוסדי הוא מצב בו "</w:t>
      </w:r>
      <w:r w:rsidRPr="0023164D">
        <w:rPr>
          <w:rFonts w:ascii="Century" w:hAnsi="Century" w:cs="Miriam"/>
          <w:b/>
          <w:spacing w:val="0"/>
          <w:sz w:val="22"/>
          <w:szCs w:val="24"/>
          <w:shd w:val="clear" w:color="auto" w:fill="FFFFFF"/>
          <w:rtl/>
        </w:rPr>
        <w:t>קיים ניגוד בין שני אינטרסים מוסדיים שונים עליהם הוא מופקד</w:t>
      </w:r>
      <w:r>
        <w:rPr>
          <w:rFonts w:hint="cs"/>
          <w:rtl/>
        </w:rPr>
        <w:t>" (</w:t>
      </w:r>
      <w:r w:rsidRPr="00A83729">
        <w:rPr>
          <w:rFonts w:hint="eastAsia"/>
          <w:rtl/>
        </w:rPr>
        <w:t>בג</w:t>
      </w:r>
      <w:r w:rsidRPr="00A83729">
        <w:rPr>
          <w:rtl/>
        </w:rPr>
        <w:t>"</w:t>
      </w:r>
      <w:r w:rsidRPr="00A83729">
        <w:rPr>
          <w:rFonts w:hint="eastAsia"/>
          <w:rtl/>
        </w:rPr>
        <w:t>ץ</w:t>
      </w:r>
      <w:r w:rsidRPr="00A83729">
        <w:rPr>
          <w:rtl/>
        </w:rPr>
        <w:t xml:space="preserve"> 415/19 </w:t>
      </w:r>
      <w:r w:rsidRPr="0023164D">
        <w:rPr>
          <w:rFonts w:ascii="Century" w:hAnsi="Century" w:cs="Miriam" w:hint="eastAsia"/>
          <w:b/>
          <w:spacing w:val="0"/>
          <w:szCs w:val="24"/>
          <w:rtl/>
        </w:rPr>
        <w:t>לוי</w:t>
      </w:r>
      <w:r w:rsidRPr="0023164D">
        <w:rPr>
          <w:rFonts w:ascii="Century" w:hAnsi="Century" w:cs="Miriam"/>
          <w:b/>
          <w:spacing w:val="0"/>
          <w:szCs w:val="24"/>
          <w:rtl/>
        </w:rPr>
        <w:t xml:space="preserve"> </w:t>
      </w:r>
      <w:r w:rsidRPr="0023164D">
        <w:rPr>
          <w:rFonts w:ascii="Century" w:hAnsi="Century" w:cs="Miriam" w:hint="eastAsia"/>
          <w:b/>
          <w:spacing w:val="0"/>
          <w:szCs w:val="24"/>
          <w:rtl/>
        </w:rPr>
        <w:t>נ</w:t>
      </w:r>
      <w:r w:rsidRPr="0023164D">
        <w:rPr>
          <w:rFonts w:ascii="Century" w:hAnsi="Century" w:cs="Miriam"/>
          <w:b/>
          <w:spacing w:val="0"/>
          <w:szCs w:val="24"/>
          <w:rtl/>
        </w:rPr>
        <w:t xml:space="preserve">' </w:t>
      </w:r>
      <w:r w:rsidRPr="0023164D">
        <w:rPr>
          <w:rFonts w:ascii="Century" w:hAnsi="Century" w:cs="Miriam" w:hint="eastAsia"/>
          <w:b/>
          <w:spacing w:val="0"/>
          <w:szCs w:val="24"/>
          <w:rtl/>
        </w:rPr>
        <w:t>שר</w:t>
      </w:r>
      <w:r w:rsidRPr="0023164D">
        <w:rPr>
          <w:rFonts w:ascii="Century" w:hAnsi="Century" w:cs="Miriam"/>
          <w:b/>
          <w:spacing w:val="0"/>
          <w:szCs w:val="24"/>
          <w:rtl/>
        </w:rPr>
        <w:t xml:space="preserve"> </w:t>
      </w:r>
      <w:r w:rsidRPr="0023164D">
        <w:rPr>
          <w:rFonts w:ascii="Century" w:hAnsi="Century" w:cs="Miriam" w:hint="eastAsia"/>
          <w:b/>
          <w:spacing w:val="0"/>
          <w:szCs w:val="24"/>
          <w:rtl/>
        </w:rPr>
        <w:t>הפנים</w:t>
      </w:r>
      <w:r>
        <w:rPr>
          <w:rFonts w:hint="cs"/>
          <w:rtl/>
        </w:rPr>
        <w:t>, פסקאות 18-16</w:t>
      </w:r>
      <w:r w:rsidRPr="00A83729">
        <w:rPr>
          <w:rtl/>
        </w:rPr>
        <w:t xml:space="preserve"> (21.</w:t>
      </w:r>
      <w:r>
        <w:rPr>
          <w:rFonts w:hint="cs"/>
          <w:rtl/>
        </w:rPr>
        <w:t>4</w:t>
      </w:r>
      <w:r w:rsidRPr="00A83729">
        <w:rPr>
          <w:rtl/>
        </w:rPr>
        <w:t>.2020)</w:t>
      </w:r>
      <w:r>
        <w:rPr>
          <w:rFonts w:hint="cs"/>
          <w:rtl/>
        </w:rPr>
        <w:t xml:space="preserve">; יצחק זמיר "ניגוד עניינים בשירות הציבורי" </w:t>
      </w:r>
      <w:r w:rsidRPr="0023164D">
        <w:rPr>
          <w:rFonts w:cs="Miriam" w:hint="cs"/>
          <w:b/>
          <w:spacing w:val="0"/>
          <w:szCs w:val="24"/>
          <w:rtl/>
        </w:rPr>
        <w:t xml:space="preserve">ניגוד עניינים במרכב הציבורי </w:t>
      </w:r>
      <w:r w:rsidRPr="0023164D">
        <w:rPr>
          <w:rFonts w:cs="Miriam"/>
          <w:b/>
          <w:spacing w:val="0"/>
          <w:szCs w:val="24"/>
          <w:rtl/>
        </w:rPr>
        <w:t>–</w:t>
      </w:r>
      <w:r w:rsidRPr="0023164D">
        <w:rPr>
          <w:rFonts w:cs="Miriam" w:hint="cs"/>
          <w:b/>
          <w:spacing w:val="0"/>
          <w:szCs w:val="24"/>
          <w:rtl/>
        </w:rPr>
        <w:t xml:space="preserve"> משפט, תרבות, אתיקה, פוליטיקה</w:t>
      </w:r>
      <w:r>
        <w:rPr>
          <w:rFonts w:hint="cs"/>
          <w:rtl/>
        </w:rPr>
        <w:t xml:space="preserve"> 225, 245 (2008) (להלן: </w:t>
      </w:r>
      <w:r w:rsidRPr="0023164D">
        <w:rPr>
          <w:rFonts w:ascii="Century" w:hAnsi="Century" w:cs="Miriam" w:hint="cs"/>
          <w:b/>
          <w:spacing w:val="0"/>
          <w:szCs w:val="24"/>
          <w:rtl/>
        </w:rPr>
        <w:t>זמיר</w:t>
      </w:r>
      <w:r>
        <w:rPr>
          <w:rFonts w:hint="cs"/>
          <w:rtl/>
        </w:rPr>
        <w:t xml:space="preserve">)). מדובר, במקרה הרגיל, במצב בו בעל תפקיד מכהן בשני גופים שונים, דבר אשר עשוי להביא </w:t>
      </w:r>
      <w:r>
        <w:rPr>
          <w:rFonts w:hint="cs"/>
          <w:rtl/>
        </w:rPr>
        <w:lastRenderedPageBreak/>
        <w:t xml:space="preserve">לכך שבבואו לקבל החלטה בכובעו כבעל תפקיד בגוף האחד, הוא יהיה מושפע מאינטרסים הנוגעים לתפקידו בגוף האחר (ראו סקירה של מקרים שנדונו בפסיקה אצל </w:t>
      </w:r>
      <w:r w:rsidRPr="0023164D">
        <w:rPr>
          <w:rFonts w:ascii="Century" w:hAnsi="Century" w:cs="Miriam" w:hint="eastAsia"/>
          <w:b/>
          <w:spacing w:val="0"/>
          <w:sz w:val="22"/>
          <w:szCs w:val="24"/>
          <w:rtl/>
        </w:rPr>
        <w:t>זמיר</w:t>
      </w:r>
      <w:r>
        <w:rPr>
          <w:rFonts w:hint="cs"/>
          <w:rtl/>
        </w:rPr>
        <w:t xml:space="preserve">, 246-244). </w:t>
      </w:r>
    </w:p>
    <w:p w:rsidR="0007657B" w:rsidRDefault="0007657B" w:rsidP="0007657B">
      <w:pPr>
        <w:pStyle w:val="Ruller4"/>
        <w:numPr>
          <w:ilvl w:val="0"/>
          <w:numId w:val="0"/>
        </w:numPr>
      </w:pPr>
    </w:p>
    <w:p w:rsidR="0007657B" w:rsidRDefault="0007657B" w:rsidP="0007657B">
      <w:pPr>
        <w:pStyle w:val="Ruller4"/>
      </w:pPr>
      <w:r>
        <w:rPr>
          <w:rFonts w:hint="cs"/>
          <w:rtl/>
        </w:rPr>
        <w:t xml:space="preserve">ניגוד העניינים הלכאורי עליו מצביעות העותרות לאו ניגוד עניינים הוא. </w:t>
      </w:r>
      <w:r w:rsidRPr="00061B2F">
        <w:rPr>
          <w:rFonts w:ascii="Century" w:hAnsi="Century" w:cs="Miriam" w:hint="cs"/>
          <w:b/>
          <w:spacing w:val="0"/>
          <w:sz w:val="22"/>
          <w:szCs w:val="24"/>
          <w:rtl/>
        </w:rPr>
        <w:t>ראשית</w:t>
      </w:r>
      <w:r w:rsidRPr="00061B2F">
        <w:rPr>
          <w:rFonts w:ascii="Century" w:hAnsi="Century"/>
          <w:sz w:val="22"/>
          <w:rtl/>
        </w:rPr>
        <w:t>,</w:t>
      </w:r>
      <w:r w:rsidRPr="00061B2F">
        <w:rPr>
          <w:rFonts w:ascii="Century" w:hAnsi="Century" w:hint="cs"/>
          <w:sz w:val="22"/>
          <w:rtl/>
        </w:rPr>
        <w:t xml:space="preserve"> אין מדובר בניגוד עניינים מוסדי</w:t>
      </w:r>
      <w:r>
        <w:rPr>
          <w:rFonts w:ascii="Century" w:hAnsi="Century" w:hint="cs"/>
          <w:sz w:val="22"/>
          <w:rtl/>
        </w:rPr>
        <w:t>,</w:t>
      </w:r>
      <w:r w:rsidRPr="00061B2F">
        <w:rPr>
          <w:rFonts w:ascii="Century" w:hAnsi="Century" w:hint="cs"/>
          <w:sz w:val="22"/>
          <w:rtl/>
        </w:rPr>
        <w:t xml:space="preserve"> שכן הסוגיות המועלות בהצעת החוק נוגעות כולן לתפקידה של היועצת ב</w:t>
      </w:r>
      <w:r>
        <w:rPr>
          <w:rFonts w:ascii="Century" w:hAnsi="Century" w:hint="cs"/>
          <w:sz w:val="22"/>
          <w:rtl/>
        </w:rPr>
        <w:t>כובעה</w:t>
      </w:r>
      <w:r w:rsidRPr="00061B2F">
        <w:rPr>
          <w:rFonts w:ascii="Century" w:hAnsi="Century" w:hint="cs"/>
          <w:sz w:val="22"/>
          <w:rtl/>
        </w:rPr>
        <w:t xml:space="preserve"> זה. זאת, להבדיל ממצב בו עובד הציבור ממלא שני תפקידים </w:t>
      </w:r>
      <w:r w:rsidRPr="00061B2F">
        <w:rPr>
          <w:rFonts w:ascii="Century" w:hAnsi="Century" w:cs="Miriam" w:hint="eastAsia"/>
          <w:b/>
          <w:spacing w:val="0"/>
          <w:sz w:val="22"/>
          <w:szCs w:val="24"/>
          <w:rtl/>
        </w:rPr>
        <w:t>שונים</w:t>
      </w:r>
      <w:r w:rsidRPr="00061B2F">
        <w:rPr>
          <w:rFonts w:ascii="Century" w:hAnsi="Century" w:hint="cs"/>
          <w:sz w:val="22"/>
          <w:rtl/>
        </w:rPr>
        <w:t xml:space="preserve"> באופן </w:t>
      </w:r>
      <w:r>
        <w:rPr>
          <w:rFonts w:ascii="Century" w:hAnsi="Century" w:hint="cs"/>
          <w:sz w:val="22"/>
          <w:rtl/>
        </w:rPr>
        <w:t>ה</w:t>
      </w:r>
      <w:r w:rsidRPr="00061B2F">
        <w:rPr>
          <w:rFonts w:ascii="Century" w:hAnsi="Century" w:hint="cs"/>
          <w:sz w:val="22"/>
          <w:rtl/>
        </w:rPr>
        <w:t>עשוי להביא ל</w:t>
      </w:r>
      <w:r>
        <w:rPr>
          <w:rFonts w:ascii="Century" w:hAnsi="Century" w:hint="cs"/>
          <w:sz w:val="22"/>
          <w:rtl/>
        </w:rPr>
        <w:t>כך ששיקולים הקשורים לתפקיד האחד יזלגו להחלטות המתקבלות במסגרת התפקיד האחר</w:t>
      </w:r>
      <w:r w:rsidRPr="00061B2F">
        <w:rPr>
          <w:rFonts w:ascii="Century" w:hAnsi="Century" w:hint="cs"/>
          <w:sz w:val="22"/>
          <w:rtl/>
        </w:rPr>
        <w:t>.</w:t>
      </w:r>
      <w:r w:rsidRPr="00061B2F">
        <w:rPr>
          <w:rFonts w:ascii="Century" w:hAnsi="Century" w:cs="Miriam" w:hint="cs"/>
          <w:b/>
          <w:spacing w:val="0"/>
          <w:sz w:val="22"/>
          <w:szCs w:val="24"/>
          <w:rtl/>
        </w:rPr>
        <w:t xml:space="preserve"> </w:t>
      </w:r>
      <w:r>
        <w:rPr>
          <w:rFonts w:ascii="Century" w:hAnsi="Century" w:cs="Miriam" w:hint="cs"/>
          <w:b/>
          <w:spacing w:val="0"/>
          <w:sz w:val="22"/>
          <w:szCs w:val="24"/>
          <w:rtl/>
        </w:rPr>
        <w:t>שנית</w:t>
      </w:r>
      <w:r w:rsidRPr="000E1965">
        <w:rPr>
          <w:rFonts w:ascii="Century" w:hAnsi="Century"/>
          <w:sz w:val="22"/>
          <w:rtl/>
        </w:rPr>
        <w:t>,</w:t>
      </w:r>
      <w:r>
        <w:rPr>
          <w:rFonts w:ascii="Century" w:hAnsi="Century" w:cs="Miriam" w:hint="cs"/>
          <w:b/>
          <w:spacing w:val="0"/>
          <w:sz w:val="22"/>
          <w:szCs w:val="24"/>
          <w:rtl/>
        </w:rPr>
        <w:t xml:space="preserve"> </w:t>
      </w:r>
      <w:r>
        <w:rPr>
          <w:rFonts w:ascii="Century" w:hAnsi="Century" w:hint="cs"/>
          <w:sz w:val="22"/>
          <w:rtl/>
        </w:rPr>
        <w:t>כמובהר לעיל, נושא משרה ציבורית הנדרש לשאלת תוכן סמכויותיו שלו עצמו אינו מצוי בניגוד עניינים.</w:t>
      </w:r>
      <w:r w:rsidRPr="00413DA0">
        <w:rPr>
          <w:rFonts w:ascii="Century" w:hAnsi="Century" w:hint="cs"/>
          <w:sz w:val="22"/>
          <w:rtl/>
        </w:rPr>
        <w:t xml:space="preserve"> </w:t>
      </w:r>
      <w:r>
        <w:rPr>
          <w:rFonts w:ascii="Century" w:hAnsi="Century" w:hint="cs"/>
          <w:sz w:val="22"/>
          <w:rtl/>
        </w:rPr>
        <w:t xml:space="preserve">שאלות מסוג זה מתעוררות חדשות לבקרים, ואם ייקבע כי עובדי הציבור מנועים מלדון בהן הדבר </w:t>
      </w:r>
      <w:r>
        <w:rPr>
          <w:rFonts w:hint="cs"/>
          <w:rtl/>
        </w:rPr>
        <w:t xml:space="preserve">ייצור קושי ממשי בביצוע תפקידם. אף אין קושי בהצגת עמדתה העקרונית של היועצת בעניין זה במסגרת העבודה על הצעת החוק. כמובן, שבכל פעולה שמבצע נושא משרה ציבורית, גם בפעולה המערבת שאלות מהסוג האמור, עליו להיות מונע תמיד משיקולים ענייניים הנוגעים לטובת הציבור עבורו הוא משמש נאמן. </w:t>
      </w:r>
    </w:p>
    <w:p w:rsidR="0007657B" w:rsidRDefault="0007657B" w:rsidP="0007657B">
      <w:pPr>
        <w:pStyle w:val="Ruller4"/>
        <w:numPr>
          <w:ilvl w:val="0"/>
          <w:numId w:val="0"/>
        </w:numPr>
      </w:pPr>
    </w:p>
    <w:p w:rsidR="0007657B" w:rsidRDefault="0007657B" w:rsidP="0007657B">
      <w:pPr>
        <w:pStyle w:val="Ruller4"/>
        <w:rPr>
          <w:rtl/>
        </w:rPr>
      </w:pPr>
      <w:r>
        <w:rPr>
          <w:rFonts w:hint="cs"/>
          <w:rtl/>
        </w:rPr>
        <w:t xml:space="preserve">לשון אחרת, האינטרסים שלתפיסת העותרים מתנגשים, הם אינטרסים שמרכיבים </w:t>
      </w:r>
      <w:r w:rsidRPr="00CD1760">
        <w:rPr>
          <w:rFonts w:cs="Miriam" w:hint="cs"/>
          <w:b/>
          <w:spacing w:val="0"/>
          <w:szCs w:val="24"/>
          <w:rtl/>
        </w:rPr>
        <w:t>אינהרנטית</w:t>
      </w:r>
      <w:r>
        <w:rPr>
          <w:rFonts w:hint="cs"/>
          <w:rtl/>
        </w:rPr>
        <w:t xml:space="preserve"> את תפקיד היועצת</w:t>
      </w:r>
      <w:r w:rsidRPr="0073379C">
        <w:rPr>
          <w:rFonts w:hint="cs"/>
          <w:rtl/>
        </w:rPr>
        <w:t xml:space="preserve"> כמי שאמונה, בין היתר, על ייעוץ</w:t>
      </w:r>
      <w:r>
        <w:rPr>
          <w:rFonts w:hint="cs"/>
          <w:rtl/>
        </w:rPr>
        <w:t xml:space="preserve"> לממשלה בעניינים משפטיים בתחומים נרחבים, וביניהם, מן הסתם, על הליכי החקיקה האמורים. ודוק, לא רק שאין כל סיבה לסבור כי היועצת מנועה מלהביע עמדתה ביחס להליכי החקיקה, אלא שזוהי אף </w:t>
      </w:r>
      <w:r w:rsidRPr="00CD1760">
        <w:rPr>
          <w:rFonts w:cs="Miriam" w:hint="cs"/>
          <w:b/>
          <w:spacing w:val="0"/>
          <w:szCs w:val="24"/>
          <w:rtl/>
        </w:rPr>
        <w:t>חובתה</w:t>
      </w:r>
      <w:r>
        <w:rPr>
          <w:rFonts w:hint="cs"/>
          <w:rtl/>
        </w:rPr>
        <w:t xml:space="preserve"> מתוקף תפקידה; אלמלא הייתה עושה כן </w:t>
      </w:r>
      <w:r>
        <w:rPr>
          <w:rtl/>
        </w:rPr>
        <w:t>–</w:t>
      </w:r>
      <w:r>
        <w:rPr>
          <w:rFonts w:hint="cs"/>
          <w:rtl/>
        </w:rPr>
        <w:t xml:space="preserve"> הייתה  מועלת באחריותה.</w:t>
      </w:r>
    </w:p>
    <w:p w:rsidR="0007657B" w:rsidRDefault="0007657B" w:rsidP="0007657B">
      <w:pPr>
        <w:pStyle w:val="Ruller4"/>
        <w:numPr>
          <w:ilvl w:val="0"/>
          <w:numId w:val="0"/>
        </w:numPr>
        <w:rPr>
          <w:rtl/>
        </w:rPr>
      </w:pPr>
    </w:p>
    <w:p w:rsidR="0007657B" w:rsidRDefault="0007657B" w:rsidP="0007657B">
      <w:pPr>
        <w:pStyle w:val="Ruller4"/>
      </w:pPr>
      <w:r>
        <w:rPr>
          <w:rFonts w:hint="cs"/>
          <w:rtl/>
        </w:rPr>
        <w:t>העותרות טענו בלשון רפה גם לכך שהיועצת מצויה בניגוד עניינים אישי ביחס להליכי החקיקה. ואולם, לביסוס טענה זו הן מציגות רק ספקולציות רחוקות שלא די בהן כדי לקבוע כי קיים ולו "</w:t>
      </w:r>
      <w:r w:rsidRPr="00413DA0">
        <w:rPr>
          <w:rFonts w:ascii="Century" w:hAnsi="Century" w:cs="Miriam" w:hint="cs"/>
          <w:b/>
          <w:spacing w:val="0"/>
          <w:sz w:val="22"/>
          <w:szCs w:val="24"/>
          <w:rtl/>
        </w:rPr>
        <w:t>חשש סביר</w:t>
      </w:r>
      <w:r>
        <w:rPr>
          <w:rFonts w:hint="cs"/>
          <w:rtl/>
        </w:rPr>
        <w:t>" לניגוד עניינים (</w:t>
      </w:r>
      <w:r w:rsidRPr="00130881">
        <w:rPr>
          <w:rFonts w:hint="eastAsia"/>
          <w:rtl/>
        </w:rPr>
        <w:t>בג</w:t>
      </w:r>
      <w:r w:rsidRPr="00130881">
        <w:rPr>
          <w:rtl/>
        </w:rPr>
        <w:t>"</w:t>
      </w:r>
      <w:r w:rsidRPr="00130881">
        <w:rPr>
          <w:rFonts w:hint="eastAsia"/>
          <w:rtl/>
        </w:rPr>
        <w:t>ץ</w:t>
      </w:r>
      <w:r w:rsidRPr="00130881">
        <w:rPr>
          <w:rtl/>
        </w:rPr>
        <w:t xml:space="preserve"> 244/86 </w:t>
      </w:r>
      <w:r w:rsidRPr="00413DA0">
        <w:rPr>
          <w:rFonts w:ascii="Century" w:hAnsi="Century" w:cs="Miriam" w:hint="eastAsia"/>
          <w:b/>
          <w:spacing w:val="0"/>
          <w:sz w:val="22"/>
          <w:szCs w:val="24"/>
          <w:rtl/>
        </w:rPr>
        <w:t>רביבו</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נ</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ראש</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המועצה</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המקומית</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אופקים</w:t>
      </w:r>
      <w:r w:rsidRPr="00130881">
        <w:rPr>
          <w:rtl/>
        </w:rPr>
        <w:t xml:space="preserve">, </w:t>
      </w:r>
      <w:r>
        <w:rPr>
          <w:rFonts w:hint="cs"/>
          <w:rtl/>
        </w:rPr>
        <w:t xml:space="preserve">פ"ד </w:t>
      </w:r>
      <w:proofErr w:type="spellStart"/>
      <w:r w:rsidRPr="00130881">
        <w:rPr>
          <w:rFonts w:hint="eastAsia"/>
          <w:rtl/>
        </w:rPr>
        <w:t>מב</w:t>
      </w:r>
      <w:proofErr w:type="spellEnd"/>
      <w:r w:rsidRPr="00130881">
        <w:rPr>
          <w:rtl/>
        </w:rPr>
        <w:t>(3) 183</w:t>
      </w:r>
      <w:r>
        <w:rPr>
          <w:rFonts w:hint="cs"/>
          <w:rtl/>
        </w:rPr>
        <w:t>, 185</w:t>
      </w:r>
      <w:r w:rsidRPr="00130881">
        <w:rPr>
          <w:rtl/>
        </w:rPr>
        <w:t xml:space="preserve"> (1988)</w:t>
      </w:r>
      <w:r>
        <w:rPr>
          <w:rFonts w:hint="cs"/>
          <w:rtl/>
        </w:rPr>
        <w:t xml:space="preserve">; </w:t>
      </w:r>
      <w:r w:rsidRPr="00506D43">
        <w:rPr>
          <w:rFonts w:hint="eastAsia"/>
          <w:rtl/>
        </w:rPr>
        <w:t>בג</w:t>
      </w:r>
      <w:r w:rsidRPr="00506D43">
        <w:rPr>
          <w:rtl/>
        </w:rPr>
        <w:t>"</w:t>
      </w:r>
      <w:r w:rsidRPr="00506D43">
        <w:rPr>
          <w:rFonts w:hint="eastAsia"/>
          <w:rtl/>
        </w:rPr>
        <w:t>ץ</w:t>
      </w:r>
      <w:r w:rsidRPr="00506D43">
        <w:rPr>
          <w:rtl/>
        </w:rPr>
        <w:t xml:space="preserve"> 43/16 </w:t>
      </w:r>
      <w:r w:rsidRPr="00413DA0">
        <w:rPr>
          <w:rFonts w:ascii="Century" w:hAnsi="Century" w:cs="Miriam" w:hint="eastAsia"/>
          <w:b/>
          <w:spacing w:val="0"/>
          <w:sz w:val="22"/>
          <w:szCs w:val="24"/>
          <w:rtl/>
        </w:rPr>
        <w:t>תנועת</w:t>
      </w:r>
      <w:r w:rsidRPr="00413DA0">
        <w:rPr>
          <w:rFonts w:ascii="Century" w:hAnsi="Century" w:cs="Miriam"/>
          <w:b/>
          <w:spacing w:val="0"/>
          <w:sz w:val="22"/>
          <w:szCs w:val="24"/>
          <w:rtl/>
        </w:rPr>
        <w:t xml:space="preserve"> </w:t>
      </w:r>
      <w:proofErr w:type="spellStart"/>
      <w:r w:rsidRPr="00413DA0">
        <w:rPr>
          <w:rFonts w:ascii="Century" w:hAnsi="Century" w:cs="Miriam" w:hint="eastAsia"/>
          <w:b/>
          <w:spacing w:val="0"/>
          <w:sz w:val="22"/>
          <w:szCs w:val="24"/>
          <w:rtl/>
        </w:rPr>
        <w:t>אומ</w:t>
      </w:r>
      <w:r w:rsidRPr="00413DA0">
        <w:rPr>
          <w:rFonts w:ascii="Century" w:hAnsi="Century" w:cs="Miriam"/>
          <w:b/>
          <w:spacing w:val="0"/>
          <w:sz w:val="22"/>
          <w:szCs w:val="24"/>
          <w:rtl/>
        </w:rPr>
        <w:t>"</w:t>
      </w:r>
      <w:r w:rsidRPr="00413DA0">
        <w:rPr>
          <w:rFonts w:ascii="Century" w:hAnsi="Century" w:cs="Miriam" w:hint="eastAsia"/>
          <w:b/>
          <w:spacing w:val="0"/>
          <w:sz w:val="22"/>
          <w:szCs w:val="24"/>
          <w:rtl/>
        </w:rPr>
        <w:t>ץ</w:t>
      </w:r>
      <w:proofErr w:type="spellEnd"/>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אזרחים</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למען</w:t>
      </w:r>
      <w:r w:rsidRPr="00413DA0">
        <w:rPr>
          <w:rFonts w:ascii="Century" w:hAnsi="Century" w:cs="Miriam"/>
          <w:b/>
          <w:spacing w:val="0"/>
          <w:sz w:val="22"/>
          <w:szCs w:val="24"/>
          <w:rtl/>
        </w:rPr>
        <w:t xml:space="preserve"> </w:t>
      </w:r>
      <w:proofErr w:type="spellStart"/>
      <w:r w:rsidRPr="00413DA0">
        <w:rPr>
          <w:rFonts w:ascii="Century" w:hAnsi="Century" w:cs="Miriam" w:hint="eastAsia"/>
          <w:b/>
          <w:spacing w:val="0"/>
          <w:sz w:val="22"/>
          <w:szCs w:val="24"/>
          <w:rtl/>
        </w:rPr>
        <w:t>מינהל</w:t>
      </w:r>
      <w:proofErr w:type="spellEnd"/>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תקין</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וצדק</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חברתי</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ומשפטי</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נ</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ממשלת</w:t>
      </w:r>
      <w:r w:rsidRPr="00413DA0">
        <w:rPr>
          <w:rFonts w:ascii="Century" w:hAnsi="Century" w:cs="Miriam"/>
          <w:b/>
          <w:spacing w:val="0"/>
          <w:sz w:val="22"/>
          <w:szCs w:val="24"/>
          <w:rtl/>
        </w:rPr>
        <w:t xml:space="preserve"> </w:t>
      </w:r>
      <w:r w:rsidRPr="00413DA0">
        <w:rPr>
          <w:rFonts w:ascii="Century" w:hAnsi="Century" w:cs="Miriam" w:hint="eastAsia"/>
          <w:b/>
          <w:spacing w:val="0"/>
          <w:sz w:val="22"/>
          <w:szCs w:val="24"/>
          <w:rtl/>
        </w:rPr>
        <w:t>ישראל</w:t>
      </w:r>
      <w:r>
        <w:rPr>
          <w:rFonts w:hint="cs"/>
          <w:rtl/>
        </w:rPr>
        <w:t>, פסקה 79</w:t>
      </w:r>
      <w:r w:rsidRPr="00506D43">
        <w:rPr>
          <w:rtl/>
        </w:rPr>
        <w:t xml:space="preserve"> (</w:t>
      </w:r>
      <w:r>
        <w:rPr>
          <w:rFonts w:hint="cs"/>
          <w:rtl/>
        </w:rPr>
        <w:t>1</w:t>
      </w:r>
      <w:r w:rsidRPr="00506D43">
        <w:rPr>
          <w:rtl/>
        </w:rPr>
        <w:t>.</w:t>
      </w:r>
      <w:r>
        <w:rPr>
          <w:rFonts w:hint="cs"/>
          <w:rtl/>
        </w:rPr>
        <w:t>3</w:t>
      </w:r>
      <w:r w:rsidRPr="00506D43">
        <w:rPr>
          <w:rtl/>
        </w:rPr>
        <w:t>.2016)</w:t>
      </w:r>
      <w:r>
        <w:rPr>
          <w:rFonts w:hint="cs"/>
          <w:rtl/>
        </w:rPr>
        <w:t xml:space="preserve">). מאחר שאיני נדרש לסוגיה זו בענייננו, וכן מפאת רגישות העניין, אמנע מלהרחיב בהבדלים שבין עניין זה לבין המקרה בו מבקשות העותרות להיתלות (ניגוד העניינים העלול להתעורר בעקבות מעורבות ראש הממשלה בהליך פלילי), ואסתפק באמירה כי אין הנדון דומה לראיה, וזאת ולו מהטעם הפשוט שהתרחיש המתואר בעניין היועצת הוא תיאורטי ועתידי, ואילו בעניינו של ראש הממשלה עסקינן במצב דברים קיים.  </w:t>
      </w:r>
    </w:p>
    <w:p w:rsidR="0007657B" w:rsidRDefault="0007657B" w:rsidP="0007657B">
      <w:pPr>
        <w:pStyle w:val="Ruller40"/>
        <w:rPr>
          <w:rtl/>
        </w:rPr>
      </w:pPr>
    </w:p>
    <w:p w:rsidR="0007657B" w:rsidRDefault="0007657B" w:rsidP="0007657B">
      <w:pPr>
        <w:pStyle w:val="Ruller4"/>
      </w:pPr>
      <w:r>
        <w:rPr>
          <w:rFonts w:hint="cs"/>
          <w:rtl/>
        </w:rPr>
        <w:t>בכך ניתן היה לסיים, אלא שבמהלך השבועיים שחלפו בין מועד הגשת העתירה דנן (6.3.2022) לבין מועד מתן פסק דין זה הוגשו לתיק בית המשפט בקשות שונות ומשונות. להלן אתייחס אליהן בתכלית הקיצור.</w:t>
      </w:r>
    </w:p>
    <w:p w:rsidR="0007657B" w:rsidRPr="0073693E" w:rsidRDefault="0007657B" w:rsidP="0007657B">
      <w:pPr>
        <w:pStyle w:val="Ruller4"/>
        <w:numPr>
          <w:ilvl w:val="0"/>
          <w:numId w:val="0"/>
        </w:numPr>
      </w:pPr>
    </w:p>
    <w:p w:rsidR="0007657B" w:rsidRDefault="0007657B" w:rsidP="0007657B">
      <w:pPr>
        <w:pStyle w:val="Ruller4"/>
        <w:numPr>
          <w:ilvl w:val="0"/>
          <w:numId w:val="0"/>
        </w:numPr>
        <w:rPr>
          <w:rtl/>
        </w:rPr>
      </w:pPr>
      <w:r>
        <w:rPr>
          <w:rtl/>
        </w:rPr>
        <w:tab/>
      </w:r>
      <w:r>
        <w:rPr>
          <w:rFonts w:hint="cs"/>
          <w:rtl/>
        </w:rPr>
        <w:t>ביום 16.3.2022 הגישו העותרות "בקשה למתן החלטה", וזאת בטענה כי "</w:t>
      </w:r>
      <w:r w:rsidRPr="00872958">
        <w:rPr>
          <w:rFonts w:ascii="Century" w:hAnsi="Century" w:cs="Miriam" w:hint="eastAsia"/>
          <w:b/>
          <w:spacing w:val="0"/>
          <w:sz w:val="22"/>
          <w:szCs w:val="24"/>
          <w:rtl/>
        </w:rPr>
        <w:t>באופן</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חריג</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בחלוף</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עשרה</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ימים</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מיום</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הגשת</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העתירה</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שבכותרת</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טרם</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ניתנה</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כל</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החלטה</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בעניינה</w:t>
      </w:r>
      <w:r>
        <w:rPr>
          <w:rFonts w:hint="cs"/>
          <w:rtl/>
        </w:rPr>
        <w:t>". מדובר בבקשה שמתעלמת מאילוצי המציאות ומכך שנדרש זמן מה עד כתיבת החלטה הדוחה עתירה על הסף, וזמן זה ראוי להקצות בשים לב למטלות אחרות המצויות על שולחן השופט. מכל מקום, לאור עמדתן של העותרות כי יש דחיפות בהתייחסות לבקשתן למתן צו ביניים שכן "</w:t>
      </w:r>
      <w:r w:rsidRPr="00872958">
        <w:rPr>
          <w:rFonts w:ascii="Century" w:hAnsi="Century" w:cs="Miriam" w:hint="eastAsia"/>
          <w:b/>
          <w:spacing w:val="0"/>
          <w:sz w:val="22"/>
          <w:szCs w:val="24"/>
          <w:rtl/>
        </w:rPr>
        <w:t>בכל</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יום</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שעובר</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המשיבה</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ממשיכה</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לפעול</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בשירות</w:t>
      </w:r>
      <w:r w:rsidRPr="00872958">
        <w:rPr>
          <w:rFonts w:ascii="Century" w:hAnsi="Century" w:cs="Miriam"/>
          <w:b/>
          <w:spacing w:val="0"/>
          <w:sz w:val="22"/>
          <w:szCs w:val="24"/>
          <w:rtl/>
        </w:rPr>
        <w:t xml:space="preserve"> </w:t>
      </w:r>
      <w:r w:rsidRPr="00872958">
        <w:rPr>
          <w:rFonts w:ascii="Century" w:hAnsi="Century" w:cs="Miriam" w:hint="eastAsia"/>
          <w:b/>
          <w:spacing w:val="0"/>
          <w:sz w:val="22"/>
          <w:szCs w:val="24"/>
          <w:rtl/>
        </w:rPr>
        <w:t>הציבורי</w:t>
      </w:r>
      <w:r>
        <w:rPr>
          <w:rFonts w:hint="cs"/>
          <w:rtl/>
        </w:rPr>
        <w:t>", ראיתי לנכון להבהיר ביום 19.3.2022 כי לא מצאתי מקום לתת צו ביניים.</w:t>
      </w:r>
    </w:p>
    <w:p w:rsidR="0007657B" w:rsidRDefault="0007657B" w:rsidP="0007657B">
      <w:pPr>
        <w:pStyle w:val="Ruller40"/>
        <w:rPr>
          <w:rtl/>
        </w:rPr>
      </w:pPr>
    </w:p>
    <w:p w:rsidR="0007657B" w:rsidRDefault="0007657B" w:rsidP="0007657B">
      <w:pPr>
        <w:pStyle w:val="Ruller40"/>
        <w:rPr>
          <w:rtl/>
        </w:rPr>
      </w:pPr>
      <w:r>
        <w:rPr>
          <w:rtl/>
        </w:rPr>
        <w:tab/>
      </w:r>
      <w:r>
        <w:rPr>
          <w:rFonts w:hint="cs"/>
          <w:rtl/>
        </w:rPr>
        <w:t xml:space="preserve">ביום 19.3.2022 הוגשה על ידי עמותה בשם "משמר הדמוקרטיה הישראלית" בקשת הצטרפות במעמד "ידידת בית המשפט". עמדת המבקשת להצטרף הייתה שדין העתירה להידחות, ומשמצאנו שיש לעשות כן ממילא, ומבלי להידרש לטעמים שהוצגו בבקשת ההצטרפות </w:t>
      </w:r>
      <w:r>
        <w:rPr>
          <w:rtl/>
        </w:rPr>
        <w:t>–</w:t>
      </w:r>
      <w:r>
        <w:rPr>
          <w:rFonts w:hint="cs"/>
          <w:rtl/>
        </w:rPr>
        <w:t xml:space="preserve"> דינה להידחות.</w:t>
      </w:r>
    </w:p>
    <w:p w:rsidR="0007657B" w:rsidRDefault="0007657B" w:rsidP="0007657B">
      <w:pPr>
        <w:pStyle w:val="Ruller40"/>
        <w:rPr>
          <w:rtl/>
        </w:rPr>
      </w:pPr>
    </w:p>
    <w:p w:rsidR="0007657B" w:rsidRDefault="0007657B" w:rsidP="0007657B">
      <w:pPr>
        <w:pStyle w:val="Ruller40"/>
        <w:rPr>
          <w:rtl/>
        </w:rPr>
      </w:pPr>
      <w:r>
        <w:rPr>
          <w:rtl/>
        </w:rPr>
        <w:tab/>
      </w:r>
      <w:r>
        <w:rPr>
          <w:rFonts w:hint="cs"/>
          <w:rtl/>
        </w:rPr>
        <w:t>ביום 20.3.2022 הגדילו העותרות לעשות והגישו בקשה שהוכתרה בכותרת "</w:t>
      </w:r>
      <w:r w:rsidRPr="00872958">
        <w:rPr>
          <w:rFonts w:ascii="Century" w:hAnsi="Century" w:cs="Miriam" w:hint="eastAsia"/>
          <w:b/>
          <w:spacing w:val="0"/>
          <w:szCs w:val="24"/>
          <w:rtl/>
        </w:rPr>
        <w:t>בקשה</w:t>
      </w:r>
      <w:r w:rsidRPr="00872958">
        <w:rPr>
          <w:rFonts w:ascii="Century" w:hAnsi="Century" w:cs="Miriam"/>
          <w:b/>
          <w:spacing w:val="0"/>
          <w:szCs w:val="24"/>
          <w:rtl/>
        </w:rPr>
        <w:t xml:space="preserve"> </w:t>
      </w:r>
      <w:r w:rsidRPr="00872958">
        <w:rPr>
          <w:rFonts w:ascii="Century" w:hAnsi="Century" w:cs="Miriam" w:hint="eastAsia"/>
          <w:b/>
          <w:spacing w:val="0"/>
          <w:szCs w:val="24"/>
          <w:rtl/>
        </w:rPr>
        <w:t>לקביעת</w:t>
      </w:r>
      <w:r w:rsidRPr="00872958">
        <w:rPr>
          <w:rFonts w:ascii="Century" w:hAnsi="Century" w:cs="Miriam"/>
          <w:b/>
          <w:spacing w:val="0"/>
          <w:szCs w:val="24"/>
          <w:rtl/>
        </w:rPr>
        <w:t xml:space="preserve"> </w:t>
      </w:r>
      <w:r w:rsidRPr="00872958">
        <w:rPr>
          <w:rFonts w:ascii="Century" w:hAnsi="Century" w:cs="Miriam" w:hint="eastAsia"/>
          <w:b/>
          <w:spacing w:val="0"/>
          <w:szCs w:val="24"/>
          <w:rtl/>
        </w:rPr>
        <w:t>סדרי</w:t>
      </w:r>
      <w:r w:rsidRPr="00872958">
        <w:rPr>
          <w:rFonts w:ascii="Century" w:hAnsi="Century" w:cs="Miriam"/>
          <w:b/>
          <w:spacing w:val="0"/>
          <w:szCs w:val="24"/>
          <w:rtl/>
        </w:rPr>
        <w:t xml:space="preserve"> </w:t>
      </w:r>
      <w:r w:rsidRPr="00872958">
        <w:rPr>
          <w:rFonts w:ascii="Century" w:hAnsi="Century" w:cs="Miriam" w:hint="eastAsia"/>
          <w:b/>
          <w:spacing w:val="0"/>
          <w:szCs w:val="24"/>
          <w:rtl/>
        </w:rPr>
        <w:t>דין</w:t>
      </w:r>
      <w:r w:rsidRPr="00872958">
        <w:rPr>
          <w:rFonts w:ascii="Century" w:hAnsi="Century" w:cs="Miriam"/>
          <w:b/>
          <w:spacing w:val="0"/>
          <w:szCs w:val="24"/>
          <w:rtl/>
        </w:rPr>
        <w:t xml:space="preserve"> </w:t>
      </w:r>
      <w:r w:rsidRPr="00872958">
        <w:rPr>
          <w:rFonts w:ascii="Century" w:hAnsi="Century" w:cs="Miriam" w:hint="eastAsia"/>
          <w:b/>
          <w:spacing w:val="0"/>
          <w:szCs w:val="24"/>
          <w:rtl/>
        </w:rPr>
        <w:t>בעתירה</w:t>
      </w:r>
      <w:r w:rsidRPr="00872958">
        <w:rPr>
          <w:rFonts w:ascii="Century" w:hAnsi="Century" w:cs="Miriam"/>
          <w:b/>
          <w:spacing w:val="0"/>
          <w:szCs w:val="24"/>
          <w:rtl/>
        </w:rPr>
        <w:t xml:space="preserve">, </w:t>
      </w:r>
      <w:r w:rsidRPr="00872958">
        <w:rPr>
          <w:rFonts w:ascii="Century" w:hAnsi="Century" w:cs="Miriam" w:hint="eastAsia"/>
          <w:b/>
          <w:spacing w:val="0"/>
          <w:szCs w:val="24"/>
          <w:rtl/>
        </w:rPr>
        <w:t>קביעת</w:t>
      </w:r>
      <w:r w:rsidRPr="00872958">
        <w:rPr>
          <w:rFonts w:ascii="Century" w:hAnsi="Century" w:cs="Miriam"/>
          <w:b/>
          <w:spacing w:val="0"/>
          <w:szCs w:val="24"/>
          <w:rtl/>
        </w:rPr>
        <w:t xml:space="preserve"> </w:t>
      </w:r>
      <w:r w:rsidRPr="00872958">
        <w:rPr>
          <w:rFonts w:ascii="Century" w:hAnsi="Century" w:cs="Miriam" w:hint="eastAsia"/>
          <w:b/>
          <w:spacing w:val="0"/>
          <w:szCs w:val="24"/>
          <w:rtl/>
        </w:rPr>
        <w:t>מועד</w:t>
      </w:r>
      <w:r w:rsidRPr="00872958">
        <w:rPr>
          <w:rFonts w:ascii="Century" w:hAnsi="Century" w:cs="Miriam"/>
          <w:b/>
          <w:spacing w:val="0"/>
          <w:szCs w:val="24"/>
          <w:rtl/>
        </w:rPr>
        <w:t xml:space="preserve"> </w:t>
      </w:r>
      <w:r w:rsidRPr="00872958">
        <w:rPr>
          <w:rFonts w:ascii="Century" w:hAnsi="Century" w:cs="Miriam" w:hint="eastAsia"/>
          <w:b/>
          <w:spacing w:val="0"/>
          <w:szCs w:val="24"/>
          <w:rtl/>
        </w:rPr>
        <w:t>לדיון</w:t>
      </w:r>
      <w:r w:rsidRPr="00872958">
        <w:rPr>
          <w:rFonts w:ascii="Century" w:hAnsi="Century" w:cs="Miriam"/>
          <w:b/>
          <w:spacing w:val="0"/>
          <w:szCs w:val="24"/>
          <w:rtl/>
        </w:rPr>
        <w:t xml:space="preserve"> </w:t>
      </w:r>
      <w:r w:rsidRPr="00872958">
        <w:rPr>
          <w:rFonts w:ascii="Century" w:hAnsi="Century" w:cs="Miriam" w:hint="eastAsia"/>
          <w:b/>
          <w:spacing w:val="0"/>
          <w:szCs w:val="24"/>
          <w:rtl/>
        </w:rPr>
        <w:t>דחוף</w:t>
      </w:r>
      <w:r w:rsidRPr="00872958">
        <w:rPr>
          <w:rFonts w:ascii="Century" w:hAnsi="Century" w:cs="Miriam"/>
          <w:b/>
          <w:spacing w:val="0"/>
          <w:szCs w:val="24"/>
          <w:rtl/>
        </w:rPr>
        <w:t xml:space="preserve"> </w:t>
      </w:r>
      <w:r w:rsidRPr="00872958">
        <w:rPr>
          <w:rFonts w:ascii="Century" w:hAnsi="Century" w:cs="Miriam" w:hint="eastAsia"/>
          <w:b/>
          <w:spacing w:val="0"/>
          <w:szCs w:val="24"/>
          <w:rtl/>
        </w:rPr>
        <w:t>ועיון</w:t>
      </w:r>
      <w:r w:rsidRPr="00872958">
        <w:rPr>
          <w:rFonts w:ascii="Century" w:hAnsi="Century" w:cs="Miriam"/>
          <w:b/>
          <w:spacing w:val="0"/>
          <w:szCs w:val="24"/>
          <w:rtl/>
        </w:rPr>
        <w:t xml:space="preserve"> </w:t>
      </w:r>
      <w:r w:rsidRPr="00872958">
        <w:rPr>
          <w:rFonts w:ascii="Century" w:hAnsi="Century" w:cs="Miriam" w:hint="eastAsia"/>
          <w:b/>
          <w:spacing w:val="0"/>
          <w:szCs w:val="24"/>
          <w:rtl/>
        </w:rPr>
        <w:t>חוזר</w:t>
      </w:r>
      <w:r w:rsidRPr="00872958">
        <w:rPr>
          <w:rFonts w:ascii="Century" w:hAnsi="Century" w:cs="Miriam"/>
          <w:b/>
          <w:spacing w:val="0"/>
          <w:szCs w:val="24"/>
          <w:rtl/>
        </w:rPr>
        <w:t xml:space="preserve"> </w:t>
      </w:r>
      <w:r w:rsidRPr="00872958">
        <w:rPr>
          <w:rFonts w:ascii="Century" w:hAnsi="Century" w:cs="Miriam" w:hint="eastAsia"/>
          <w:b/>
          <w:spacing w:val="0"/>
          <w:szCs w:val="24"/>
          <w:rtl/>
        </w:rPr>
        <w:t>בהחלטה</w:t>
      </w:r>
      <w:r w:rsidRPr="00872958">
        <w:rPr>
          <w:rFonts w:ascii="Century" w:hAnsi="Century" w:cs="Miriam"/>
          <w:b/>
          <w:spacing w:val="0"/>
          <w:szCs w:val="24"/>
          <w:rtl/>
        </w:rPr>
        <w:t xml:space="preserve"> </w:t>
      </w:r>
      <w:r w:rsidRPr="00872958">
        <w:rPr>
          <w:rFonts w:ascii="Century" w:hAnsi="Century" w:cs="Miriam" w:hint="eastAsia"/>
          <w:b/>
          <w:spacing w:val="0"/>
          <w:szCs w:val="24"/>
          <w:rtl/>
        </w:rPr>
        <w:t>מיום</w:t>
      </w:r>
      <w:r w:rsidRPr="00872958">
        <w:rPr>
          <w:rFonts w:ascii="Century" w:hAnsi="Century" w:cs="Miriam"/>
          <w:b/>
          <w:spacing w:val="0"/>
          <w:szCs w:val="24"/>
          <w:rtl/>
        </w:rPr>
        <w:t xml:space="preserve"> 19.3.23</w:t>
      </w:r>
      <w:r>
        <w:rPr>
          <w:rFonts w:hint="cs"/>
          <w:rtl/>
        </w:rPr>
        <w:t>". בקשה זו מנוסחת בלשון פוגענית כלפי בית המשפט, ומרמזת על איפה ואיפה בטיפול בעתירות ("</w:t>
      </w:r>
      <w:r w:rsidRPr="00872958">
        <w:rPr>
          <w:rFonts w:ascii="Century" w:hAnsi="Century" w:cs="Miriam" w:hint="eastAsia"/>
          <w:b/>
          <w:spacing w:val="0"/>
          <w:szCs w:val="24"/>
          <w:rtl/>
        </w:rPr>
        <w:t>היעלה</w:t>
      </w:r>
      <w:r w:rsidRPr="00872958">
        <w:rPr>
          <w:rFonts w:ascii="Century" w:hAnsi="Century" w:cs="Miriam"/>
          <w:b/>
          <w:spacing w:val="0"/>
          <w:szCs w:val="24"/>
          <w:rtl/>
        </w:rPr>
        <w:t xml:space="preserve"> </w:t>
      </w:r>
      <w:r w:rsidRPr="00872958">
        <w:rPr>
          <w:rFonts w:ascii="Century" w:hAnsi="Century" w:cs="Miriam" w:hint="eastAsia"/>
          <w:b/>
          <w:spacing w:val="0"/>
          <w:szCs w:val="24"/>
          <w:rtl/>
        </w:rPr>
        <w:t>על</w:t>
      </w:r>
      <w:r w:rsidRPr="00872958">
        <w:rPr>
          <w:rFonts w:ascii="Century" w:hAnsi="Century" w:cs="Miriam"/>
          <w:b/>
          <w:spacing w:val="0"/>
          <w:szCs w:val="24"/>
          <w:rtl/>
        </w:rPr>
        <w:t xml:space="preserve"> </w:t>
      </w:r>
      <w:r w:rsidRPr="00872958">
        <w:rPr>
          <w:rFonts w:ascii="Century" w:hAnsi="Century" w:cs="Miriam" w:hint="eastAsia"/>
          <w:b/>
          <w:spacing w:val="0"/>
          <w:szCs w:val="24"/>
          <w:rtl/>
        </w:rPr>
        <w:t>הדעת</w:t>
      </w:r>
      <w:r w:rsidRPr="00872958">
        <w:rPr>
          <w:rFonts w:ascii="Century" w:hAnsi="Century" w:cs="Miriam"/>
          <w:b/>
          <w:spacing w:val="0"/>
          <w:szCs w:val="24"/>
          <w:rtl/>
        </w:rPr>
        <w:t xml:space="preserve"> </w:t>
      </w:r>
      <w:r w:rsidRPr="00872958">
        <w:rPr>
          <w:rFonts w:ascii="Century" w:hAnsi="Century" w:cs="Miriam" w:hint="eastAsia"/>
          <w:b/>
          <w:spacing w:val="0"/>
          <w:szCs w:val="24"/>
          <w:rtl/>
        </w:rPr>
        <w:t>שיהיה</w:t>
      </w:r>
      <w:r w:rsidRPr="00872958">
        <w:rPr>
          <w:rFonts w:ascii="Century" w:hAnsi="Century" w:cs="Miriam"/>
          <w:b/>
          <w:spacing w:val="0"/>
          <w:szCs w:val="24"/>
          <w:rtl/>
        </w:rPr>
        <w:t xml:space="preserve"> </w:t>
      </w:r>
      <w:r w:rsidRPr="00872958">
        <w:rPr>
          <w:rFonts w:ascii="Century" w:hAnsi="Century" w:cs="Miriam" w:hint="eastAsia"/>
          <w:b/>
          <w:spacing w:val="0"/>
          <w:szCs w:val="24"/>
          <w:rtl/>
        </w:rPr>
        <w:t>דין</w:t>
      </w:r>
      <w:r w:rsidRPr="00872958">
        <w:rPr>
          <w:rFonts w:ascii="Century" w:hAnsi="Century" w:cs="Miriam"/>
          <w:b/>
          <w:spacing w:val="0"/>
          <w:szCs w:val="24"/>
          <w:rtl/>
        </w:rPr>
        <w:t xml:space="preserve"> </w:t>
      </w:r>
      <w:r w:rsidRPr="00872958">
        <w:rPr>
          <w:rFonts w:ascii="Century" w:hAnsi="Century" w:cs="Miriam" w:hint="eastAsia"/>
          <w:b/>
          <w:spacing w:val="0"/>
          <w:szCs w:val="24"/>
          <w:rtl/>
        </w:rPr>
        <w:t>אחד</w:t>
      </w:r>
      <w:r w:rsidRPr="00872958">
        <w:rPr>
          <w:rFonts w:ascii="Century" w:hAnsi="Century" w:cs="Miriam"/>
          <w:b/>
          <w:spacing w:val="0"/>
          <w:szCs w:val="24"/>
          <w:rtl/>
        </w:rPr>
        <w:t xml:space="preserve"> </w:t>
      </w:r>
      <w:r w:rsidRPr="00872958">
        <w:rPr>
          <w:rFonts w:ascii="Century" w:hAnsi="Century" w:cs="Miriam" w:hint="eastAsia"/>
          <w:b/>
          <w:spacing w:val="0"/>
          <w:szCs w:val="24"/>
          <w:rtl/>
        </w:rPr>
        <w:t>החל</w:t>
      </w:r>
      <w:r w:rsidRPr="00872958">
        <w:rPr>
          <w:rFonts w:ascii="Century" w:hAnsi="Century" w:cs="Miriam"/>
          <w:b/>
          <w:spacing w:val="0"/>
          <w:szCs w:val="24"/>
          <w:rtl/>
        </w:rPr>
        <w:t xml:space="preserve"> </w:t>
      </w:r>
      <w:r w:rsidRPr="00872958">
        <w:rPr>
          <w:rFonts w:ascii="Century" w:hAnsi="Century" w:cs="Miriam" w:hint="eastAsia"/>
          <w:b/>
          <w:spacing w:val="0"/>
          <w:szCs w:val="24"/>
          <w:rtl/>
        </w:rPr>
        <w:t>על</w:t>
      </w:r>
      <w:r w:rsidRPr="00872958">
        <w:rPr>
          <w:rFonts w:ascii="Century" w:hAnsi="Century" w:cs="Miriam"/>
          <w:b/>
          <w:spacing w:val="0"/>
          <w:szCs w:val="24"/>
          <w:rtl/>
        </w:rPr>
        <w:t xml:space="preserve"> </w:t>
      </w:r>
      <w:r w:rsidRPr="00872958">
        <w:rPr>
          <w:rFonts w:ascii="Century" w:hAnsi="Century" w:cs="Miriam" w:hint="eastAsia"/>
          <w:b/>
          <w:spacing w:val="0"/>
          <w:szCs w:val="24"/>
          <w:rtl/>
        </w:rPr>
        <w:t>פלוני</w:t>
      </w:r>
      <w:r w:rsidRPr="00872958">
        <w:rPr>
          <w:rFonts w:ascii="Century" w:hAnsi="Century" w:cs="Miriam"/>
          <w:b/>
          <w:spacing w:val="0"/>
          <w:szCs w:val="24"/>
          <w:rtl/>
        </w:rPr>
        <w:t xml:space="preserve"> </w:t>
      </w:r>
      <w:r w:rsidRPr="00872958">
        <w:rPr>
          <w:rFonts w:ascii="Century" w:hAnsi="Century" w:cs="Miriam" w:hint="eastAsia"/>
          <w:b/>
          <w:spacing w:val="0"/>
          <w:szCs w:val="24"/>
          <w:rtl/>
        </w:rPr>
        <w:t>ודין</w:t>
      </w:r>
      <w:r w:rsidRPr="00872958">
        <w:rPr>
          <w:rFonts w:ascii="Century" w:hAnsi="Century" w:cs="Miriam"/>
          <w:b/>
          <w:spacing w:val="0"/>
          <w:szCs w:val="24"/>
          <w:rtl/>
        </w:rPr>
        <w:t xml:space="preserve"> </w:t>
      </w:r>
      <w:r w:rsidRPr="00872958">
        <w:rPr>
          <w:rFonts w:ascii="Century" w:hAnsi="Century" w:cs="Miriam" w:hint="eastAsia"/>
          <w:b/>
          <w:spacing w:val="0"/>
          <w:szCs w:val="24"/>
          <w:rtl/>
        </w:rPr>
        <w:t>אחד</w:t>
      </w:r>
      <w:r w:rsidRPr="00872958">
        <w:rPr>
          <w:rFonts w:ascii="Century" w:hAnsi="Century" w:cs="Miriam"/>
          <w:b/>
          <w:spacing w:val="0"/>
          <w:szCs w:val="24"/>
          <w:rtl/>
        </w:rPr>
        <w:t xml:space="preserve"> </w:t>
      </w:r>
      <w:r w:rsidRPr="00872958">
        <w:rPr>
          <w:rFonts w:ascii="Century" w:hAnsi="Century" w:cs="Miriam" w:hint="eastAsia"/>
          <w:b/>
          <w:spacing w:val="0"/>
          <w:szCs w:val="24"/>
          <w:rtl/>
        </w:rPr>
        <w:t>החל</w:t>
      </w:r>
      <w:r w:rsidRPr="00872958">
        <w:rPr>
          <w:rFonts w:ascii="Century" w:hAnsi="Century" w:cs="Miriam"/>
          <w:b/>
          <w:spacing w:val="0"/>
          <w:szCs w:val="24"/>
          <w:rtl/>
        </w:rPr>
        <w:t xml:space="preserve"> </w:t>
      </w:r>
      <w:r w:rsidRPr="00872958">
        <w:rPr>
          <w:rFonts w:ascii="Century" w:hAnsi="Century" w:cs="Miriam" w:hint="eastAsia"/>
          <w:b/>
          <w:spacing w:val="0"/>
          <w:szCs w:val="24"/>
          <w:rtl/>
        </w:rPr>
        <w:t>על</w:t>
      </w:r>
      <w:r w:rsidRPr="00872958">
        <w:rPr>
          <w:rFonts w:ascii="Century" w:hAnsi="Century" w:cs="Miriam"/>
          <w:b/>
          <w:spacing w:val="0"/>
          <w:szCs w:val="24"/>
          <w:rtl/>
        </w:rPr>
        <w:t xml:space="preserve"> </w:t>
      </w:r>
      <w:r w:rsidRPr="00872958">
        <w:rPr>
          <w:rFonts w:ascii="Century" w:hAnsi="Century" w:cs="Miriam" w:hint="eastAsia"/>
          <w:b/>
          <w:spacing w:val="0"/>
          <w:szCs w:val="24"/>
          <w:rtl/>
        </w:rPr>
        <w:t>אלמוני</w:t>
      </w:r>
      <w:r w:rsidRPr="00872958">
        <w:rPr>
          <w:rFonts w:ascii="Century" w:hAnsi="Century" w:cs="Miriam"/>
          <w:b/>
          <w:spacing w:val="0"/>
          <w:szCs w:val="24"/>
          <w:rtl/>
        </w:rPr>
        <w:t xml:space="preserve">, </w:t>
      </w:r>
      <w:r w:rsidRPr="00872958">
        <w:rPr>
          <w:rFonts w:ascii="Century" w:hAnsi="Century" w:cs="Miriam" w:hint="eastAsia"/>
          <w:b/>
          <w:spacing w:val="0"/>
          <w:szCs w:val="24"/>
          <w:rtl/>
        </w:rPr>
        <w:t>ולו</w:t>
      </w:r>
      <w:r w:rsidRPr="00872958">
        <w:rPr>
          <w:rFonts w:ascii="Century" w:hAnsi="Century" w:cs="Miriam"/>
          <w:b/>
          <w:spacing w:val="0"/>
          <w:szCs w:val="24"/>
          <w:rtl/>
        </w:rPr>
        <w:t xml:space="preserve"> </w:t>
      </w:r>
      <w:r w:rsidRPr="00872958">
        <w:rPr>
          <w:rFonts w:ascii="Century" w:hAnsi="Century" w:cs="Miriam" w:hint="eastAsia"/>
          <w:b/>
          <w:spacing w:val="0"/>
          <w:szCs w:val="24"/>
          <w:rtl/>
        </w:rPr>
        <w:t>ליום</w:t>
      </w:r>
      <w:r w:rsidRPr="00872958">
        <w:rPr>
          <w:rFonts w:ascii="Century" w:hAnsi="Century" w:cs="Miriam"/>
          <w:b/>
          <w:spacing w:val="0"/>
          <w:szCs w:val="24"/>
          <w:rtl/>
        </w:rPr>
        <w:t xml:space="preserve"> </w:t>
      </w:r>
      <w:r w:rsidRPr="00872958">
        <w:rPr>
          <w:rFonts w:ascii="Century" w:hAnsi="Century" w:cs="Miriam" w:hint="eastAsia"/>
          <w:b/>
          <w:spacing w:val="0"/>
          <w:szCs w:val="24"/>
          <w:rtl/>
        </w:rPr>
        <w:t>אחד</w:t>
      </w:r>
      <w:r w:rsidRPr="00872958">
        <w:rPr>
          <w:rFonts w:ascii="Century" w:hAnsi="Century" w:cs="Miriam"/>
          <w:b/>
          <w:spacing w:val="0"/>
          <w:szCs w:val="24"/>
          <w:rtl/>
        </w:rPr>
        <w:t>?</w:t>
      </w:r>
      <w:r>
        <w:rPr>
          <w:rFonts w:hint="cs"/>
          <w:rtl/>
        </w:rPr>
        <w:t xml:space="preserve">"). על כך, אין לי אלא להגיב בצורה הבאה: יש להודות </w:t>
      </w:r>
      <w:r>
        <w:rPr>
          <w:rtl/>
        </w:rPr>
        <w:t>–</w:t>
      </w:r>
      <w:r>
        <w:rPr>
          <w:rFonts w:hint="cs"/>
          <w:rtl/>
        </w:rPr>
        <w:t xml:space="preserve"> לבית משפט זה מוגשות עתירות חסרות בסיס משני צדדיה של המפה הפוליטית, מימין ומשמאל. אלה כאלה זוכות לאותו יחס </w:t>
      </w:r>
      <w:r>
        <w:rPr>
          <w:rtl/>
        </w:rPr>
        <w:t>–</w:t>
      </w:r>
      <w:r>
        <w:rPr>
          <w:rFonts w:hint="cs"/>
          <w:rtl/>
        </w:rPr>
        <w:t xml:space="preserve"> סילוק על הסף, ובמקרים מתאימים אף תוך חיוב בהוצאות (והשוו בג"צ 44/23 </w:t>
      </w:r>
      <w:r w:rsidRPr="00E63259">
        <w:rPr>
          <w:rFonts w:ascii="Century" w:hAnsi="Century" w:cs="Miriam" w:hint="cs"/>
          <w:b/>
          <w:spacing w:val="0"/>
          <w:szCs w:val="24"/>
          <w:rtl/>
        </w:rPr>
        <w:t>התנועה לאיכות השלטון בישראל נ' היועצת המשפטית לממשלה</w:t>
      </w:r>
      <w:r w:rsidRPr="00E63259">
        <w:rPr>
          <w:rFonts w:hint="cs"/>
          <w:rtl/>
        </w:rPr>
        <w:t xml:space="preserve"> </w:t>
      </w:r>
      <w:r>
        <w:rPr>
          <w:rFonts w:hint="cs"/>
          <w:rtl/>
        </w:rPr>
        <w:t xml:space="preserve">(19.3.2023); </w:t>
      </w:r>
      <w:r w:rsidRPr="0095376E">
        <w:rPr>
          <w:rFonts w:hint="eastAsia"/>
          <w:rtl/>
        </w:rPr>
        <w:t>בג</w:t>
      </w:r>
      <w:r w:rsidRPr="0095376E">
        <w:rPr>
          <w:rtl/>
        </w:rPr>
        <w:t>"</w:t>
      </w:r>
      <w:r w:rsidRPr="0095376E">
        <w:rPr>
          <w:rFonts w:hint="eastAsia"/>
          <w:rtl/>
        </w:rPr>
        <w:t>ץ</w:t>
      </w:r>
      <w:r w:rsidRPr="0095376E">
        <w:rPr>
          <w:rtl/>
        </w:rPr>
        <w:t xml:space="preserve"> 1210/23 </w:t>
      </w:r>
      <w:r w:rsidRPr="00872958">
        <w:rPr>
          <w:rFonts w:ascii="Century" w:hAnsi="Century" w:cs="Miriam" w:hint="eastAsia"/>
          <w:b/>
          <w:spacing w:val="0"/>
          <w:szCs w:val="24"/>
          <w:rtl/>
        </w:rPr>
        <w:t>ארד</w:t>
      </w:r>
      <w:r w:rsidRPr="00872958">
        <w:rPr>
          <w:rFonts w:ascii="Century" w:hAnsi="Century" w:cs="Miriam"/>
          <w:b/>
          <w:spacing w:val="0"/>
          <w:szCs w:val="24"/>
          <w:rtl/>
        </w:rPr>
        <w:t xml:space="preserve"> </w:t>
      </w:r>
      <w:r w:rsidRPr="00872958">
        <w:rPr>
          <w:rFonts w:ascii="Century" w:hAnsi="Century" w:cs="Miriam" w:hint="eastAsia"/>
          <w:b/>
          <w:spacing w:val="0"/>
          <w:szCs w:val="24"/>
          <w:rtl/>
        </w:rPr>
        <w:t>נ</w:t>
      </w:r>
      <w:r w:rsidRPr="00872958">
        <w:rPr>
          <w:rFonts w:ascii="Century" w:hAnsi="Century" w:cs="Miriam"/>
          <w:b/>
          <w:spacing w:val="0"/>
          <w:szCs w:val="24"/>
          <w:rtl/>
        </w:rPr>
        <w:t xml:space="preserve">' </w:t>
      </w:r>
      <w:r w:rsidRPr="00872958">
        <w:rPr>
          <w:rFonts w:ascii="Century" w:hAnsi="Century" w:cs="Miriam" w:hint="eastAsia"/>
          <w:b/>
          <w:spacing w:val="0"/>
          <w:szCs w:val="24"/>
          <w:rtl/>
        </w:rPr>
        <w:t>שר</w:t>
      </w:r>
      <w:r w:rsidRPr="00872958">
        <w:rPr>
          <w:rFonts w:ascii="Century" w:hAnsi="Century" w:cs="Miriam"/>
          <w:b/>
          <w:spacing w:val="0"/>
          <w:szCs w:val="24"/>
          <w:rtl/>
        </w:rPr>
        <w:t xml:space="preserve"> </w:t>
      </w:r>
      <w:r w:rsidRPr="00872958">
        <w:rPr>
          <w:rFonts w:ascii="Century" w:hAnsi="Century" w:cs="Miriam" w:hint="eastAsia"/>
          <w:b/>
          <w:spacing w:val="0"/>
          <w:szCs w:val="24"/>
          <w:rtl/>
        </w:rPr>
        <w:t>המשפטים</w:t>
      </w:r>
      <w:r w:rsidRPr="0095376E">
        <w:rPr>
          <w:rtl/>
        </w:rPr>
        <w:t xml:space="preserve"> (14.</w:t>
      </w:r>
      <w:r>
        <w:rPr>
          <w:rFonts w:hint="cs"/>
          <w:rtl/>
        </w:rPr>
        <w:t>2</w:t>
      </w:r>
      <w:r w:rsidRPr="0095376E">
        <w:rPr>
          <w:rtl/>
        </w:rPr>
        <w:t>.2023)</w:t>
      </w:r>
      <w:r>
        <w:rPr>
          <w:rFonts w:hint="cs"/>
          <w:rtl/>
        </w:rPr>
        <w:t xml:space="preserve">; </w:t>
      </w:r>
      <w:r w:rsidRPr="00D61143">
        <w:rPr>
          <w:rFonts w:hint="eastAsia"/>
          <w:rtl/>
        </w:rPr>
        <w:t>בג</w:t>
      </w:r>
      <w:r w:rsidRPr="00D61143">
        <w:rPr>
          <w:rtl/>
        </w:rPr>
        <w:t>"</w:t>
      </w:r>
      <w:r w:rsidRPr="00D61143">
        <w:rPr>
          <w:rFonts w:hint="eastAsia"/>
          <w:rtl/>
        </w:rPr>
        <w:t>ץ</w:t>
      </w:r>
      <w:r w:rsidRPr="00D61143">
        <w:rPr>
          <w:rtl/>
        </w:rPr>
        <w:t xml:space="preserve"> 1234/23 </w:t>
      </w:r>
      <w:r w:rsidRPr="00872958">
        <w:rPr>
          <w:rFonts w:ascii="Century" w:hAnsi="Century" w:cs="Miriam" w:hint="eastAsia"/>
          <w:b/>
          <w:spacing w:val="0"/>
          <w:szCs w:val="24"/>
          <w:rtl/>
        </w:rPr>
        <w:t>אורון</w:t>
      </w:r>
      <w:r w:rsidRPr="00872958">
        <w:rPr>
          <w:rFonts w:ascii="Century" w:hAnsi="Century" w:cs="Miriam"/>
          <w:b/>
          <w:spacing w:val="0"/>
          <w:szCs w:val="24"/>
          <w:rtl/>
        </w:rPr>
        <w:t xml:space="preserve"> </w:t>
      </w:r>
      <w:r w:rsidRPr="00872958">
        <w:rPr>
          <w:rFonts w:ascii="Century" w:hAnsi="Century" w:cs="Miriam" w:hint="eastAsia"/>
          <w:b/>
          <w:spacing w:val="0"/>
          <w:szCs w:val="24"/>
          <w:rtl/>
        </w:rPr>
        <w:t>נ</w:t>
      </w:r>
      <w:r w:rsidRPr="00872958">
        <w:rPr>
          <w:rFonts w:ascii="Century" w:hAnsi="Century" w:cs="Miriam"/>
          <w:b/>
          <w:spacing w:val="0"/>
          <w:szCs w:val="24"/>
          <w:rtl/>
        </w:rPr>
        <w:t xml:space="preserve">' </w:t>
      </w:r>
      <w:r w:rsidRPr="00872958">
        <w:rPr>
          <w:rFonts w:ascii="Century" w:hAnsi="Century" w:cs="Miriam" w:hint="eastAsia"/>
          <w:b/>
          <w:spacing w:val="0"/>
          <w:szCs w:val="24"/>
          <w:rtl/>
        </w:rPr>
        <w:t>ועדת</w:t>
      </w:r>
      <w:r w:rsidRPr="00872958">
        <w:rPr>
          <w:rFonts w:ascii="Century" w:hAnsi="Century" w:cs="Miriam"/>
          <w:b/>
          <w:spacing w:val="0"/>
          <w:szCs w:val="24"/>
          <w:rtl/>
        </w:rPr>
        <w:t xml:space="preserve"> </w:t>
      </w:r>
      <w:r w:rsidRPr="00872958">
        <w:rPr>
          <w:rFonts w:ascii="Century" w:hAnsi="Century" w:cs="Miriam" w:hint="eastAsia"/>
          <w:b/>
          <w:spacing w:val="0"/>
          <w:szCs w:val="24"/>
          <w:rtl/>
        </w:rPr>
        <w:t>החוקה</w:t>
      </w:r>
      <w:r w:rsidRPr="00872958">
        <w:rPr>
          <w:rFonts w:ascii="Century" w:hAnsi="Century" w:cs="Miriam"/>
          <w:b/>
          <w:spacing w:val="0"/>
          <w:szCs w:val="24"/>
          <w:rtl/>
        </w:rPr>
        <w:t xml:space="preserve">, </w:t>
      </w:r>
      <w:r w:rsidRPr="00872958">
        <w:rPr>
          <w:rFonts w:ascii="Century" w:hAnsi="Century" w:cs="Miriam" w:hint="eastAsia"/>
          <w:b/>
          <w:spacing w:val="0"/>
          <w:szCs w:val="24"/>
          <w:rtl/>
        </w:rPr>
        <w:t>חוק</w:t>
      </w:r>
      <w:r w:rsidRPr="00872958">
        <w:rPr>
          <w:rFonts w:ascii="Century" w:hAnsi="Century" w:cs="Miriam"/>
          <w:b/>
          <w:spacing w:val="0"/>
          <w:szCs w:val="24"/>
          <w:rtl/>
        </w:rPr>
        <w:t xml:space="preserve"> </w:t>
      </w:r>
      <w:r w:rsidRPr="00872958">
        <w:rPr>
          <w:rFonts w:ascii="Century" w:hAnsi="Century" w:cs="Miriam" w:hint="eastAsia"/>
          <w:b/>
          <w:spacing w:val="0"/>
          <w:szCs w:val="24"/>
          <w:rtl/>
        </w:rPr>
        <w:t>ומשפט</w:t>
      </w:r>
      <w:r w:rsidRPr="00872958">
        <w:rPr>
          <w:rFonts w:ascii="Century" w:hAnsi="Century" w:cs="Miriam"/>
          <w:b/>
          <w:spacing w:val="0"/>
          <w:szCs w:val="24"/>
          <w:rtl/>
        </w:rPr>
        <w:t xml:space="preserve"> </w:t>
      </w:r>
      <w:r w:rsidRPr="00872958">
        <w:rPr>
          <w:rFonts w:ascii="Century" w:hAnsi="Century" w:cs="Miriam" w:hint="eastAsia"/>
          <w:b/>
          <w:spacing w:val="0"/>
          <w:szCs w:val="24"/>
          <w:rtl/>
        </w:rPr>
        <w:t>של</w:t>
      </w:r>
      <w:r w:rsidRPr="00872958">
        <w:rPr>
          <w:rFonts w:ascii="Century" w:hAnsi="Century" w:cs="Miriam"/>
          <w:b/>
          <w:spacing w:val="0"/>
          <w:szCs w:val="24"/>
          <w:rtl/>
        </w:rPr>
        <w:t xml:space="preserve"> </w:t>
      </w:r>
      <w:r w:rsidRPr="00872958">
        <w:rPr>
          <w:rFonts w:ascii="Century" w:hAnsi="Century" w:cs="Miriam" w:hint="eastAsia"/>
          <w:b/>
          <w:spacing w:val="0"/>
          <w:szCs w:val="24"/>
          <w:rtl/>
        </w:rPr>
        <w:t>הכנסת</w:t>
      </w:r>
      <w:r w:rsidRPr="00D61143">
        <w:rPr>
          <w:rtl/>
        </w:rPr>
        <w:t xml:space="preserve"> (16.</w:t>
      </w:r>
      <w:r>
        <w:rPr>
          <w:rFonts w:hint="cs"/>
          <w:rtl/>
        </w:rPr>
        <w:t>2</w:t>
      </w:r>
      <w:r w:rsidRPr="00D61143">
        <w:rPr>
          <w:rtl/>
        </w:rPr>
        <w:t>.2023)</w:t>
      </w:r>
      <w:r>
        <w:rPr>
          <w:rFonts w:hint="cs"/>
          <w:rtl/>
        </w:rPr>
        <w:t xml:space="preserve">). זהו, בכל הכבוד, הדין הראוי גם לעתירה שלפנינו. </w:t>
      </w:r>
    </w:p>
    <w:p w:rsidR="0007657B" w:rsidRDefault="0007657B" w:rsidP="0007657B">
      <w:pPr>
        <w:pStyle w:val="Ruller40"/>
        <w:rPr>
          <w:rtl/>
        </w:rPr>
      </w:pPr>
    </w:p>
    <w:p w:rsidR="0007657B" w:rsidRDefault="0007657B" w:rsidP="00693D51">
      <w:pPr>
        <w:pStyle w:val="Ruller4"/>
        <w:keepNext/>
        <w:rPr>
          <w:rtl/>
        </w:rPr>
      </w:pPr>
      <w:r w:rsidRPr="00F372CA">
        <w:rPr>
          <w:rFonts w:ascii="Century" w:hAnsi="Century" w:cs="Miriam" w:hint="cs"/>
          <w:b/>
          <w:spacing w:val="0"/>
          <w:sz w:val="22"/>
          <w:szCs w:val="24"/>
          <w:rtl/>
        </w:rPr>
        <w:lastRenderedPageBreak/>
        <w:t>סוף דבר</w:t>
      </w:r>
      <w:r w:rsidRPr="00F372CA">
        <w:rPr>
          <w:rFonts w:hint="cs"/>
          <w:rtl/>
        </w:rPr>
        <w:t xml:space="preserve"> </w:t>
      </w:r>
      <w:r>
        <w:rPr>
          <w:rtl/>
        </w:rPr>
        <w:t>–</w:t>
      </w:r>
      <w:r>
        <w:rPr>
          <w:rFonts w:hint="cs"/>
          <w:rtl/>
        </w:rPr>
        <w:t xml:space="preserve"> העתירה נדחית על הסף בהיותה נעדרת עילה; בשים לב לאמור בפסקה 8 לעיל, העותרים ישלמו הוצאות לטובת אוצר המדינה בסכום של 5,000 ש"ח.</w:t>
      </w:r>
    </w:p>
    <w:p w:rsidR="0007657B" w:rsidRPr="009C1638" w:rsidRDefault="0007657B" w:rsidP="00693D51">
      <w:pPr>
        <w:pStyle w:val="Ruller40"/>
        <w:keepNext/>
      </w:pPr>
    </w:p>
    <w:p w:rsidR="0007657B" w:rsidRPr="0007657B" w:rsidRDefault="0007657B" w:rsidP="00693D51">
      <w:pPr>
        <w:pStyle w:val="Ruller40"/>
        <w:keepNext/>
        <w:rPr>
          <w:rtl/>
        </w:rPr>
      </w:pPr>
      <w:bookmarkStart w:id="5" w:name="_GoBack"/>
      <w:bookmarkEnd w:id="5"/>
    </w:p>
    <w:p w:rsidR="00016EF1" w:rsidRDefault="00105FFB" w:rsidP="00105FFB">
      <w:pPr>
        <w:pStyle w:val="Ruller40"/>
        <w:rPr>
          <w:rtl/>
        </w:rPr>
      </w:pPr>
      <w:r>
        <w:rPr>
          <w:rtl/>
        </w:rPr>
        <w:tab/>
        <w:t xml:space="preserve">ניתנה היום, </w:t>
      </w:r>
      <w:r>
        <w:rPr>
          <w:rFonts w:hint="eastAsia"/>
          <w:rtl/>
        </w:rPr>
        <w:t>‏כ</w:t>
      </w:r>
      <w:r>
        <w:rPr>
          <w:rtl/>
        </w:rPr>
        <w:t>"</w:t>
      </w:r>
      <w:r>
        <w:rPr>
          <w:rFonts w:hint="cs"/>
          <w:rtl/>
        </w:rPr>
        <w:t>ט</w:t>
      </w:r>
      <w:r>
        <w:rPr>
          <w:rtl/>
        </w:rPr>
        <w:t xml:space="preserve"> באדר </w:t>
      </w:r>
      <w:proofErr w:type="spellStart"/>
      <w:r>
        <w:rPr>
          <w:rtl/>
        </w:rPr>
        <w:t>התשפ"ג</w:t>
      </w:r>
      <w:proofErr w:type="spellEnd"/>
      <w:r>
        <w:rPr>
          <w:rtl/>
        </w:rPr>
        <w:t xml:space="preserve"> (</w:t>
      </w:r>
      <w:r>
        <w:rPr>
          <w:rFonts w:hint="eastAsia"/>
          <w:rtl/>
        </w:rPr>
        <w:t>‏</w:t>
      </w:r>
      <w:r>
        <w:rPr>
          <w:rtl/>
        </w:rPr>
        <w:t>2</w:t>
      </w:r>
      <w:r>
        <w:rPr>
          <w:rFonts w:hint="cs"/>
          <w:rtl/>
        </w:rPr>
        <w:t>2</w:t>
      </w:r>
      <w:r>
        <w:rPr>
          <w:rtl/>
        </w:rPr>
        <w:t>.3.2023).</w:t>
      </w:r>
    </w:p>
    <w:p w:rsidR="00105FFB" w:rsidRDefault="00105FFB" w:rsidP="00A51FAE">
      <w:pPr>
        <w:pStyle w:val="Ruller40"/>
        <w:rPr>
          <w:rtl/>
        </w:rPr>
      </w:pPr>
    </w:p>
    <w:tbl>
      <w:tblPr>
        <w:bidiVisual/>
        <w:tblW w:w="8363" w:type="dxa"/>
        <w:tblLook w:val="01E0" w:firstRow="1" w:lastRow="1" w:firstColumn="1" w:lastColumn="1" w:noHBand="0" w:noVBand="0"/>
      </w:tblPr>
      <w:tblGrid>
        <w:gridCol w:w="2787"/>
        <w:gridCol w:w="2788"/>
        <w:gridCol w:w="2788"/>
      </w:tblGrid>
      <w:tr w:rsidR="001A0164" w:rsidTr="00D00B1D">
        <w:tc>
          <w:tcPr>
            <w:tcW w:w="2842" w:type="dxa"/>
            <w:shd w:val="clear" w:color="auto" w:fill="auto"/>
          </w:tcPr>
          <w:p w:rsidR="00016EF1" w:rsidRDefault="002E40DE" w:rsidP="00A51FAE">
            <w:pPr>
              <w:pStyle w:val="Ruller40"/>
              <w:rPr>
                <w:rtl/>
              </w:rPr>
            </w:pPr>
            <w:r>
              <w:rPr>
                <w:rtl/>
              </w:rPr>
              <w:t>ש ו פ ט</w:t>
            </w:r>
          </w:p>
        </w:tc>
        <w:tc>
          <w:tcPr>
            <w:tcW w:w="2843" w:type="dxa"/>
            <w:shd w:val="clear" w:color="auto" w:fill="auto"/>
          </w:tcPr>
          <w:p w:rsidR="001A0164" w:rsidRDefault="002E40DE" w:rsidP="00BA0B08">
            <w:pPr>
              <w:pStyle w:val="Ruller40"/>
              <w:jc w:val="center"/>
              <w:rPr>
                <w:rtl/>
              </w:rPr>
            </w:pPr>
            <w:r>
              <w:rPr>
                <w:rtl/>
              </w:rPr>
              <w:t>ש ו פ ט</w:t>
            </w:r>
          </w:p>
        </w:tc>
        <w:tc>
          <w:tcPr>
            <w:tcW w:w="2843" w:type="dxa"/>
            <w:shd w:val="clear" w:color="auto" w:fill="auto"/>
          </w:tcPr>
          <w:p w:rsidR="001A0164" w:rsidRDefault="002E40DE" w:rsidP="00925E56">
            <w:pPr>
              <w:pStyle w:val="Ruller40"/>
              <w:jc w:val="center"/>
              <w:rPr>
                <w:rtl/>
              </w:rPr>
            </w:pPr>
            <w:r>
              <w:rPr>
                <w:rtl/>
              </w:rPr>
              <w:t xml:space="preserve">ש ו פ ט </w:t>
            </w:r>
          </w:p>
        </w:tc>
      </w:tr>
    </w:tbl>
    <w:p w:rsidR="00044953" w:rsidRDefault="00044953" w:rsidP="00A51FAE">
      <w:pPr>
        <w:pStyle w:val="Ruller40"/>
        <w:rPr>
          <w:rtl/>
        </w:rPr>
      </w:pPr>
    </w:p>
    <w:p w:rsidR="00916FF8" w:rsidRDefault="00916FF8">
      <w:pPr>
        <w:rPr>
          <w:szCs w:val="16"/>
          <w:rtl/>
        </w:rPr>
      </w:pPr>
      <w:r>
        <w:rPr>
          <w:szCs w:val="16"/>
          <w:rtl/>
        </w:rPr>
        <w:t>_________________</w:t>
      </w:r>
      <w:r w:rsidR="00A12E0F">
        <w:rPr>
          <w:rFonts w:hint="cs"/>
          <w:szCs w:val="16"/>
          <w:rtl/>
        </w:rPr>
        <w:t>________</w:t>
      </w:r>
    </w:p>
    <w:p w:rsidR="00916FF8" w:rsidRDefault="00591983" w:rsidP="00B009CC">
      <w:pPr>
        <w:pStyle w:val="Ruller38"/>
        <w:rPr>
          <w:rtl/>
        </w:rPr>
      </w:pPr>
      <w:r>
        <w:rPr>
          <w:sz w:val="16"/>
        </w:rPr>
        <w:t xml:space="preserve"> </w:t>
      </w:r>
      <w:r w:rsidR="00A12E0F">
        <w:rPr>
          <w:sz w:val="16"/>
        </w:rPr>
        <w:t xml:space="preserve">  </w:t>
      </w:r>
      <w:r w:rsidR="002E40DE">
        <w:rPr>
          <w:sz w:val="16"/>
        </w:rPr>
        <w:t xml:space="preserve">23018930_Y04.docx   </w:t>
      </w:r>
      <w:proofErr w:type="spellStart"/>
      <w:r w:rsidR="002E40DE">
        <w:rPr>
          <w:sz w:val="16"/>
          <w:rtl/>
        </w:rPr>
        <w:t>אג</w:t>
      </w:r>
      <w:proofErr w:type="spellEnd"/>
    </w:p>
    <w:p w:rsidR="00591983" w:rsidRPr="00FC0252" w:rsidRDefault="00591983" w:rsidP="00FC0252">
      <w:pPr>
        <w:pStyle w:val="Ruller38"/>
        <w:rPr>
          <w:rtl/>
        </w:rPr>
      </w:pPr>
      <w:r>
        <w:rPr>
          <w:rtl/>
        </w:rPr>
        <w:t>מרכז מידע, טל'</w:t>
      </w:r>
      <w:r>
        <w:rPr>
          <w:rFonts w:hint="cs"/>
          <w:rtl/>
        </w:rPr>
        <w:t xml:space="preserve"> </w:t>
      </w:r>
      <w:r w:rsidR="00B63343">
        <w:rPr>
          <w:rFonts w:hint="cs"/>
          <w:rtl/>
        </w:rPr>
        <w:t>077</w:t>
      </w:r>
      <w:r>
        <w:rPr>
          <w:rFonts w:hint="cs"/>
          <w:rtl/>
        </w:rPr>
        <w:t>-</w:t>
      </w:r>
      <w:r w:rsidR="00B63343">
        <w:rPr>
          <w:rFonts w:hint="cs"/>
          <w:rtl/>
        </w:rPr>
        <w:t>270</w:t>
      </w:r>
      <w:r w:rsidR="00E21CA9">
        <w:rPr>
          <w:rFonts w:hint="cs"/>
          <w:rtl/>
        </w:rPr>
        <w:t>3</w:t>
      </w:r>
      <w:r w:rsidR="009B38DA">
        <w:rPr>
          <w:rFonts w:hint="cs"/>
          <w:rtl/>
        </w:rPr>
        <w:t>333</w:t>
      </w:r>
      <w:r w:rsidR="00866D0F">
        <w:rPr>
          <w:rFonts w:hint="cs"/>
          <w:rtl/>
        </w:rPr>
        <w:t>, 3852*</w:t>
      </w:r>
      <w:r>
        <w:rPr>
          <w:rFonts w:hint="cs"/>
          <w:rtl/>
        </w:rPr>
        <w:t xml:space="preserve"> ; אתר אינטרנט,  </w:t>
      </w:r>
      <w:hyperlink r:id="rId8" w:history="1">
        <w:r w:rsidR="00FC0252" w:rsidRPr="00BB4C68">
          <w:rPr>
            <w:rStyle w:val="Hyperlink"/>
            <w:sz w:val="16"/>
          </w:rPr>
          <w:t>https://supreme.court.gov.il</w:t>
        </w:r>
      </w:hyperlink>
    </w:p>
    <w:p w:rsidR="003F1F97" w:rsidRDefault="003F1F97" w:rsidP="00591983">
      <w:pPr>
        <w:pStyle w:val="Ruller38"/>
        <w:rPr>
          <w:rtl/>
        </w:rPr>
      </w:pPr>
    </w:p>
    <w:sectPr w:rsidR="003F1F97" w:rsidSect="00591983">
      <w:headerReference w:type="even" r:id="rId9"/>
      <w:headerReference w:type="default" r:id="rId10"/>
      <w:footerReference w:type="even" r:id="rId11"/>
      <w:footerReference w:type="default" r:id="rId12"/>
      <w:headerReference w:type="first" r:id="rId13"/>
      <w:footerReference w:type="first" r:id="rId14"/>
      <w:endnotePr>
        <w:numFmt w:val="lowerLetter"/>
      </w:endnotePr>
      <w:pgSz w:w="11906" w:h="16838" w:code="9"/>
      <w:pgMar w:top="1134" w:right="1797" w:bottom="1440" w:left="1797" w:header="567" w:footer="397" w:gutter="0"/>
      <w:cols w:space="720"/>
      <w:titlePg/>
      <w:bidi/>
      <w:rtlGutter/>
    </w:sectPr>
  </w:body>
</w:document>
</file>

<file path=word/customizations.xml><?xml version="1.0" encoding="utf-8"?>
<wne:tcg xmlns:r="http://schemas.openxmlformats.org/officeDocument/2006/relationships" xmlns:wne="http://schemas.microsoft.com/office/word/2006/wordml">
  <wne:keymaps>
    <wne:keymap wne:kcmPrimary="0433">
      <wne:acd wne:acdName="acd0"/>
    </wne:keymap>
    <wne:keymap wne:kcmPrimary="0434">
      <wne:acd wne:acdName="acd1"/>
    </wne:keymap>
    <wne:keymap wne:kcmPrimary="0435">
      <wne:acd wne:acdName="acd2"/>
    </wne:keymap>
  </wne:keymaps>
  <wne:toolbars>
    <wne:acdManifest>
      <wne:acdEntry wne:acdName="acd0"/>
      <wne:acdEntry wne:acdName="acd1"/>
      <wne:acdEntry wne:acdName="acd2"/>
    </wne:acdManifest>
    <wne:toolbarData r:id="rId1"/>
  </wne:toolbars>
  <wne:acds>
    <wne:acd wne:argValue="AgBSAHUAbABsAGUAcgAgADMA" wne:acdName="acd0" wne:fciIndexBasedOn="0065"/>
    <wne:acd wne:argValue="AgBSAHUAbABsAGUAcgA0AA==" wne:acdName="acd1" wne:fciIndexBasedOn="0065"/>
    <wne:acd wne:argValue="AgBSAHUAbABsAGUAcgA1AA==" wne:acdName="acd2"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7512" w:rsidRDefault="007F7512">
      <w:r>
        <w:separator/>
      </w:r>
    </w:p>
  </w:endnote>
  <w:endnote w:type="continuationSeparator" w:id="0">
    <w:p w:rsidR="007F7512" w:rsidRDefault="007F7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FrankRuehl">
    <w:panose1 w:val="020E0503060101010101"/>
    <w:charset w:val="00"/>
    <w:family w:val="swiss"/>
    <w:pitch w:val="variable"/>
    <w:sig w:usb0="00000803" w:usb1="00000000" w:usb2="00000000" w:usb3="00000000" w:csb0="00000021" w:csb1="00000000"/>
  </w:font>
  <w:font w:name="Arial TUR">
    <w:charset w:val="00"/>
    <w:family w:val="swiss"/>
    <w:pitch w:val="variable"/>
    <w:sig w:usb0="E0002EFF" w:usb1="C000785B" w:usb2="00000009" w:usb3="00000000" w:csb0="000001FF" w:csb1="00000000"/>
  </w:font>
  <w:font w:name="DavidFix">
    <w:charset w:val="B1"/>
    <w:family w:val="auto"/>
    <w:pitch w:val="variable"/>
    <w:sig w:usb0="00001801" w:usb1="00000000" w:usb2="00000000" w:usb3="00000000" w:csb0="00000020" w:csb1="00000000"/>
  </w:font>
  <w:font w:name="Guttman Yad">
    <w:panose1 w:val="02010401010101010101"/>
    <w:charset w:val="B1"/>
    <w:family w:val="auto"/>
    <w:pitch w:val="variable"/>
    <w:sig w:usb0="00000801" w:usb1="4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iriam">
    <w:panose1 w:val="020B0502050101010101"/>
    <w:charset w:val="00"/>
    <w:family w:val="swiss"/>
    <w:pitch w:val="variable"/>
    <w:sig w:usb0="00000803" w:usb1="00000000" w:usb2="00000000" w:usb3="00000000" w:csb0="00000021"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7102" w:rsidRDefault="00377102">
    <w:pPr>
      <w:pStyle w:val="a3"/>
      <w:framePr w:wrap="around" w:vAnchor="text" w:hAnchor="margin" w:xAlign="center" w:y="1"/>
      <w:rPr>
        <w:rStyle w:val="a4"/>
        <w:rtl/>
      </w:rPr>
    </w:pPr>
    <w:r>
      <w:rPr>
        <w:rStyle w:val="a4"/>
        <w:rtl/>
      </w:rPr>
      <w:fldChar w:fldCharType="begin"/>
    </w:r>
    <w:r>
      <w:rPr>
        <w:rStyle w:val="a4"/>
      </w:rPr>
      <w:instrText xml:space="preserve">PAGE  </w:instrText>
    </w:r>
    <w:r>
      <w:rPr>
        <w:rStyle w:val="a4"/>
        <w:rtl/>
      </w:rPr>
      <w:fldChar w:fldCharType="separate"/>
    </w:r>
    <w:r w:rsidR="00BC0E82">
      <w:rPr>
        <w:rStyle w:val="a4"/>
        <w:noProof/>
        <w:rtl/>
      </w:rPr>
      <w:t>1</w:t>
    </w:r>
    <w:r>
      <w:rPr>
        <w:rStyle w:val="a4"/>
        <w:rtl/>
      </w:rPr>
      <w:fldChar w:fldCharType="end"/>
    </w:r>
  </w:p>
  <w:p w:rsidR="00377102" w:rsidRDefault="00377102">
    <w:pPr>
      <w:pStyle w:val="a3"/>
      <w:rPr>
        <w:rtl/>
      </w:rPr>
    </w:pPr>
  </w:p>
  <w:p w:rsidR="00377102" w:rsidRDefault="00377102"/>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40DE" w:rsidRDefault="002E40DE">
    <w:pPr>
      <w:pStyle w:val="a3"/>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5B4D" w:rsidRPr="00F959DB" w:rsidRDefault="00045B4D" w:rsidP="00914156">
    <w:pPr>
      <w:pStyle w:val="a3"/>
      <w:bidi w:val="0"/>
      <w:jc w:val="right"/>
      <w:rPr>
        <w:sz w:val="16"/>
        <w:szCs w:val="16"/>
      </w:rPr>
    </w:pPr>
    <w:bookmarkStart w:id="6" w:name="footer_line"/>
    <w:bookmarkEnd w:id="6"/>
  </w:p>
  <w:p w:rsidR="00045B4D" w:rsidRDefault="00045B4D">
    <w:pPr>
      <w:pStyle w:val="a3"/>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7512" w:rsidRDefault="007F7512">
      <w:r>
        <w:separator/>
      </w:r>
    </w:p>
  </w:footnote>
  <w:footnote w:type="continuationSeparator" w:id="0">
    <w:p w:rsidR="007F7512" w:rsidRDefault="007F7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7102" w:rsidRDefault="00377102">
    <w:pPr>
      <w:pStyle w:val="a5"/>
      <w:framePr w:wrap="around" w:vAnchor="text" w:hAnchor="margin" w:xAlign="center" w:y="1"/>
      <w:rPr>
        <w:rStyle w:val="a4"/>
        <w:rtl/>
      </w:rPr>
    </w:pPr>
    <w:r>
      <w:rPr>
        <w:rStyle w:val="a4"/>
        <w:rtl/>
      </w:rPr>
      <w:fldChar w:fldCharType="begin"/>
    </w:r>
    <w:r>
      <w:rPr>
        <w:rStyle w:val="a4"/>
      </w:rPr>
      <w:instrText xml:space="preserve">PAGE  </w:instrText>
    </w:r>
    <w:r>
      <w:rPr>
        <w:rStyle w:val="a4"/>
        <w:rtl/>
      </w:rPr>
      <w:fldChar w:fldCharType="separate"/>
    </w:r>
    <w:r w:rsidR="00BC0E82">
      <w:rPr>
        <w:rStyle w:val="a4"/>
        <w:noProof/>
        <w:rtl/>
      </w:rPr>
      <w:t>1</w:t>
    </w:r>
    <w:r>
      <w:rPr>
        <w:rStyle w:val="a4"/>
        <w:rtl/>
      </w:rPr>
      <w:fldChar w:fldCharType="end"/>
    </w:r>
  </w:p>
  <w:p w:rsidR="00377102" w:rsidRDefault="00377102">
    <w:pPr>
      <w:pStyle w:val="a5"/>
      <w:rPr>
        <w:rtl/>
      </w:rPr>
    </w:pPr>
  </w:p>
  <w:p w:rsidR="00377102" w:rsidRDefault="00377102"/>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7102" w:rsidRDefault="00377102">
    <w:pPr>
      <w:pStyle w:val="a5"/>
      <w:framePr w:wrap="around" w:vAnchor="text" w:hAnchor="margin" w:xAlign="center" w:y="1"/>
      <w:rPr>
        <w:rStyle w:val="a4"/>
        <w:rtl/>
      </w:rPr>
    </w:pPr>
    <w:r>
      <w:rPr>
        <w:rStyle w:val="a4"/>
        <w:rtl/>
      </w:rPr>
      <w:fldChar w:fldCharType="begin"/>
    </w:r>
    <w:r>
      <w:rPr>
        <w:rStyle w:val="a4"/>
      </w:rPr>
      <w:instrText xml:space="preserve">PAGE  </w:instrText>
    </w:r>
    <w:r>
      <w:rPr>
        <w:rStyle w:val="a4"/>
        <w:rtl/>
      </w:rPr>
      <w:fldChar w:fldCharType="separate"/>
    </w:r>
    <w:r w:rsidR="00925E56">
      <w:rPr>
        <w:rStyle w:val="a4"/>
        <w:noProof/>
        <w:rtl/>
      </w:rPr>
      <w:t>6</w:t>
    </w:r>
    <w:r>
      <w:rPr>
        <w:rStyle w:val="a4"/>
        <w:rtl/>
      </w:rPr>
      <w:fldChar w:fldCharType="end"/>
    </w:r>
  </w:p>
  <w:p w:rsidR="00377102" w:rsidRDefault="00377102">
    <w:pPr>
      <w:pStyle w:val="a5"/>
      <w:rPr>
        <w:rtl/>
      </w:rPr>
    </w:pPr>
  </w:p>
  <w:p w:rsidR="00377102" w:rsidRDefault="00377102"/>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8363" w:type="dxa"/>
      <w:tblLook w:val="0000" w:firstRow="0" w:lastRow="0" w:firstColumn="0" w:lastColumn="0" w:noHBand="0" w:noVBand="0"/>
    </w:tblPr>
    <w:tblGrid>
      <w:gridCol w:w="8363"/>
    </w:tblGrid>
    <w:tr w:rsidR="00045B4D" w:rsidTr="00EC23AC">
      <w:trPr>
        <w:trHeight w:val="342"/>
      </w:trPr>
      <w:tc>
        <w:tcPr>
          <w:tcW w:w="9828" w:type="dxa"/>
        </w:tcPr>
        <w:p w:rsidR="00377102" w:rsidRPr="002F7BB6" w:rsidRDefault="00EE3810" w:rsidP="00045B4D">
          <w:pPr>
            <w:pStyle w:val="Casenameintextbody"/>
            <w:jc w:val="center"/>
            <w:rPr>
              <w:u w:val="none"/>
              <w:rtl/>
            </w:rPr>
          </w:pPr>
          <w:r w:rsidRPr="002F7BB6">
            <w:rPr>
              <w:noProof/>
              <w:sz w:val="16"/>
              <w:szCs w:val="18"/>
              <w:u w:val="none"/>
              <w:rtl/>
            </w:rPr>
            <w:drawing>
              <wp:inline distT="0" distB="0" distL="0" distR="0">
                <wp:extent cx="464820" cy="449580"/>
                <wp:effectExtent l="0" t="0" r="0" b="762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820" cy="449580"/>
                        </a:xfrm>
                        <a:prstGeom prst="rect">
                          <a:avLst/>
                        </a:prstGeom>
                        <a:noFill/>
                        <a:ln>
                          <a:noFill/>
                        </a:ln>
                      </pic:spPr>
                    </pic:pic>
                  </a:graphicData>
                </a:graphic>
              </wp:inline>
            </w:drawing>
          </w:r>
        </w:p>
      </w:tc>
    </w:tr>
  </w:tbl>
  <w:p w:rsidR="00045B4D" w:rsidRDefault="00045B4D" w:rsidP="00045B4D">
    <w:pPr>
      <w:pStyle w:val="a5"/>
      <w:jc w:val="center"/>
      <w:rPr>
        <w:rtl/>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77A4F3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EB8EE9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6485F0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830032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204653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1CCE6B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10264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21A091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7046C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B800B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A6001B"/>
    <w:multiLevelType w:val="hybridMultilevel"/>
    <w:tmpl w:val="B2C4B5E4"/>
    <w:lvl w:ilvl="0" w:tplc="883A90BA">
      <w:start w:val="1"/>
      <w:numFmt w:val="decimal"/>
      <w:pStyle w:val="Ruller4"/>
      <w:lvlText w:val="%1."/>
      <w:lvlJc w:val="left"/>
      <w:pPr>
        <w:tabs>
          <w:tab w:val="num" w:pos="907"/>
        </w:tabs>
        <w:ind w:left="0" w:firstLine="0"/>
      </w:pPr>
      <w:rPr>
        <w:rFonts w:hint="default"/>
      </w:rPr>
    </w:lvl>
    <w:lvl w:ilvl="1" w:tplc="BD6EA2F0" w:tentative="1">
      <w:start w:val="1"/>
      <w:numFmt w:val="lowerLetter"/>
      <w:lvlText w:val="%2."/>
      <w:lvlJc w:val="left"/>
      <w:pPr>
        <w:tabs>
          <w:tab w:val="num" w:pos="1440"/>
        </w:tabs>
        <w:ind w:left="1440" w:hanging="360"/>
      </w:pPr>
    </w:lvl>
    <w:lvl w:ilvl="2" w:tplc="5EC8BD4C" w:tentative="1">
      <w:start w:val="1"/>
      <w:numFmt w:val="lowerRoman"/>
      <w:lvlText w:val="%3."/>
      <w:lvlJc w:val="right"/>
      <w:pPr>
        <w:tabs>
          <w:tab w:val="num" w:pos="2160"/>
        </w:tabs>
        <w:ind w:left="2160" w:hanging="180"/>
      </w:pPr>
    </w:lvl>
    <w:lvl w:ilvl="3" w:tplc="831EAB8E" w:tentative="1">
      <w:start w:val="1"/>
      <w:numFmt w:val="decimal"/>
      <w:lvlText w:val="%4."/>
      <w:lvlJc w:val="left"/>
      <w:pPr>
        <w:tabs>
          <w:tab w:val="num" w:pos="2880"/>
        </w:tabs>
        <w:ind w:left="2880" w:hanging="360"/>
      </w:pPr>
    </w:lvl>
    <w:lvl w:ilvl="4" w:tplc="F1ACF714" w:tentative="1">
      <w:start w:val="1"/>
      <w:numFmt w:val="lowerLetter"/>
      <w:lvlText w:val="%5."/>
      <w:lvlJc w:val="left"/>
      <w:pPr>
        <w:tabs>
          <w:tab w:val="num" w:pos="3600"/>
        </w:tabs>
        <w:ind w:left="3600" w:hanging="360"/>
      </w:pPr>
    </w:lvl>
    <w:lvl w:ilvl="5" w:tplc="5200372A" w:tentative="1">
      <w:start w:val="1"/>
      <w:numFmt w:val="lowerRoman"/>
      <w:lvlText w:val="%6."/>
      <w:lvlJc w:val="right"/>
      <w:pPr>
        <w:tabs>
          <w:tab w:val="num" w:pos="4320"/>
        </w:tabs>
        <w:ind w:left="4320" w:hanging="180"/>
      </w:pPr>
    </w:lvl>
    <w:lvl w:ilvl="6" w:tplc="AB3A6590" w:tentative="1">
      <w:start w:val="1"/>
      <w:numFmt w:val="decimal"/>
      <w:lvlText w:val="%7."/>
      <w:lvlJc w:val="left"/>
      <w:pPr>
        <w:tabs>
          <w:tab w:val="num" w:pos="5040"/>
        </w:tabs>
        <w:ind w:left="5040" w:hanging="360"/>
      </w:pPr>
    </w:lvl>
    <w:lvl w:ilvl="7" w:tplc="E2AC6DD2" w:tentative="1">
      <w:start w:val="1"/>
      <w:numFmt w:val="lowerLetter"/>
      <w:lvlText w:val="%8."/>
      <w:lvlJc w:val="left"/>
      <w:pPr>
        <w:tabs>
          <w:tab w:val="num" w:pos="5760"/>
        </w:tabs>
        <w:ind w:left="5760" w:hanging="360"/>
      </w:pPr>
    </w:lvl>
    <w:lvl w:ilvl="8" w:tplc="9794A616" w:tentative="1">
      <w:start w:val="1"/>
      <w:numFmt w:val="lowerRoman"/>
      <w:lvlText w:val="%9."/>
      <w:lvlJc w:val="right"/>
      <w:pPr>
        <w:tabs>
          <w:tab w:val="num" w:pos="6480"/>
        </w:tabs>
        <w:ind w:left="6480" w:hanging="1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0"/>
  <w:defaultTabStop w:val="720"/>
  <w:drawingGridHorizontalSpacing w:val="120"/>
  <w:drawingGridVerticalSpacing w:val="120"/>
  <w:displayVerticalDrawingGridEvery w:val="0"/>
  <w:doNotUseMarginsForDrawingGridOrigin/>
  <w:doNotShadeFormData/>
  <w:noPunctuationKerning/>
  <w:characterSpacingControl w:val="doNotCompress"/>
  <w:footnotePr>
    <w:footnote w:id="-1"/>
    <w:footnote w:id="0"/>
  </w:footnotePr>
  <w:endnotePr>
    <w:numFmt w:val="lowerLette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227"/>
    <w:rsid w:val="00016EF1"/>
    <w:rsid w:val="00032036"/>
    <w:rsid w:val="00036227"/>
    <w:rsid w:val="00044953"/>
    <w:rsid w:val="00045B4D"/>
    <w:rsid w:val="000725F5"/>
    <w:rsid w:val="00072AD2"/>
    <w:rsid w:val="0007657B"/>
    <w:rsid w:val="000B1478"/>
    <w:rsid w:val="000C4690"/>
    <w:rsid w:val="000D25C4"/>
    <w:rsid w:val="00105FFB"/>
    <w:rsid w:val="00134A67"/>
    <w:rsid w:val="001A0164"/>
    <w:rsid w:val="00200D6B"/>
    <w:rsid w:val="0023767D"/>
    <w:rsid w:val="00265F6E"/>
    <w:rsid w:val="002876BF"/>
    <w:rsid w:val="002A4A7A"/>
    <w:rsid w:val="002A4BF3"/>
    <w:rsid w:val="002E40DE"/>
    <w:rsid w:val="002F7BB6"/>
    <w:rsid w:val="003448B2"/>
    <w:rsid w:val="00361DB2"/>
    <w:rsid w:val="0037622E"/>
    <w:rsid w:val="00377102"/>
    <w:rsid w:val="0039709B"/>
    <w:rsid w:val="003D72DA"/>
    <w:rsid w:val="003F1F97"/>
    <w:rsid w:val="0041048F"/>
    <w:rsid w:val="00437D59"/>
    <w:rsid w:val="004610A4"/>
    <w:rsid w:val="004B29FF"/>
    <w:rsid w:val="004C7868"/>
    <w:rsid w:val="00503A3E"/>
    <w:rsid w:val="00527F02"/>
    <w:rsid w:val="005803E2"/>
    <w:rsid w:val="0058440A"/>
    <w:rsid w:val="00591983"/>
    <w:rsid w:val="00624A42"/>
    <w:rsid w:val="0065522F"/>
    <w:rsid w:val="00693D51"/>
    <w:rsid w:val="006A30F7"/>
    <w:rsid w:val="006C42AD"/>
    <w:rsid w:val="00725345"/>
    <w:rsid w:val="00741CC0"/>
    <w:rsid w:val="007B512F"/>
    <w:rsid w:val="007F7512"/>
    <w:rsid w:val="00810894"/>
    <w:rsid w:val="008143AB"/>
    <w:rsid w:val="0083345F"/>
    <w:rsid w:val="00836667"/>
    <w:rsid w:val="00866D0F"/>
    <w:rsid w:val="008C2F11"/>
    <w:rsid w:val="008D78B9"/>
    <w:rsid w:val="008E3F85"/>
    <w:rsid w:val="009051E8"/>
    <w:rsid w:val="00914156"/>
    <w:rsid w:val="00916FF8"/>
    <w:rsid w:val="00922093"/>
    <w:rsid w:val="00925E56"/>
    <w:rsid w:val="00930C85"/>
    <w:rsid w:val="009B38DA"/>
    <w:rsid w:val="009F2F53"/>
    <w:rsid w:val="009F4187"/>
    <w:rsid w:val="00A12E0F"/>
    <w:rsid w:val="00A51FAE"/>
    <w:rsid w:val="00A80845"/>
    <w:rsid w:val="00AB69F7"/>
    <w:rsid w:val="00AD097B"/>
    <w:rsid w:val="00AD64B9"/>
    <w:rsid w:val="00AE022B"/>
    <w:rsid w:val="00B009CC"/>
    <w:rsid w:val="00B0782A"/>
    <w:rsid w:val="00B62B8C"/>
    <w:rsid w:val="00B63343"/>
    <w:rsid w:val="00B87FF7"/>
    <w:rsid w:val="00BA0B08"/>
    <w:rsid w:val="00BC0E82"/>
    <w:rsid w:val="00BD40F9"/>
    <w:rsid w:val="00C102EE"/>
    <w:rsid w:val="00C41C86"/>
    <w:rsid w:val="00C63A6C"/>
    <w:rsid w:val="00CA13AF"/>
    <w:rsid w:val="00CA1444"/>
    <w:rsid w:val="00CB1590"/>
    <w:rsid w:val="00CB7600"/>
    <w:rsid w:val="00CC0E9D"/>
    <w:rsid w:val="00CC253B"/>
    <w:rsid w:val="00CC3639"/>
    <w:rsid w:val="00D00B1D"/>
    <w:rsid w:val="00D00CB7"/>
    <w:rsid w:val="00D25F16"/>
    <w:rsid w:val="00E21CA9"/>
    <w:rsid w:val="00E31063"/>
    <w:rsid w:val="00E36FE9"/>
    <w:rsid w:val="00E73E98"/>
    <w:rsid w:val="00E75223"/>
    <w:rsid w:val="00E90D72"/>
    <w:rsid w:val="00EA0BE1"/>
    <w:rsid w:val="00EC23AC"/>
    <w:rsid w:val="00EC2992"/>
    <w:rsid w:val="00ED46A4"/>
    <w:rsid w:val="00ED6FD9"/>
    <w:rsid w:val="00EE3810"/>
    <w:rsid w:val="00F63C3B"/>
    <w:rsid w:val="00F959DB"/>
    <w:rsid w:val="00FC025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452532"/>
  <w15:chartTrackingRefBased/>
  <w15:docId w15:val="{A9DA2178-8297-4272-9CE5-299966B34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bidi/>
      <w:adjustRightInd w:val="0"/>
      <w:textAlignment w:val="baseline"/>
    </w:pPr>
    <w:rPr>
      <w:rFonts w:cs="David"/>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uller3">
    <w:name w:val="Ruller 3"/>
    <w:basedOn w:val="a"/>
    <w:rsid w:val="00A51FAE"/>
    <w:pPr>
      <w:tabs>
        <w:tab w:val="left" w:pos="3210"/>
        <w:tab w:val="left" w:pos="6753"/>
      </w:tabs>
      <w:spacing w:line="360" w:lineRule="auto"/>
    </w:pPr>
    <w:rPr>
      <w:rFonts w:cs="FrankRuehl"/>
      <w:spacing w:val="10"/>
      <w:sz w:val="22"/>
      <w:szCs w:val="28"/>
    </w:rPr>
  </w:style>
  <w:style w:type="paragraph" w:customStyle="1" w:styleId="Pskdinhead">
    <w:name w:val="Pskdin head"/>
    <w:basedOn w:val="a"/>
    <w:pPr>
      <w:spacing w:line="360" w:lineRule="auto"/>
    </w:pPr>
    <w:rPr>
      <w:b/>
      <w:bCs/>
      <w:u w:val="single"/>
    </w:rPr>
  </w:style>
  <w:style w:type="paragraph" w:customStyle="1" w:styleId="FileNumber">
    <w:name w:val="File Number"/>
    <w:basedOn w:val="a"/>
    <w:pPr>
      <w:spacing w:line="360" w:lineRule="auto"/>
      <w:jc w:val="right"/>
    </w:pPr>
    <w:rPr>
      <w:bCs/>
    </w:rPr>
  </w:style>
  <w:style w:type="paragraph" w:customStyle="1" w:styleId="FirstpagestylePsakdin">
    <w:name w:val="First page style Psak din"/>
    <w:basedOn w:val="Ruller3"/>
    <w:pPr>
      <w:tabs>
        <w:tab w:val="clear" w:pos="3210"/>
        <w:tab w:val="left" w:pos="3209"/>
      </w:tabs>
    </w:pPr>
    <w:rPr>
      <w:bCs/>
    </w:rPr>
  </w:style>
  <w:style w:type="paragraph" w:customStyle="1" w:styleId="TyutaDate">
    <w:name w:val="Tyuta Date"/>
    <w:basedOn w:val="a"/>
    <w:pPr>
      <w:jc w:val="center"/>
    </w:pPr>
    <w:rPr>
      <w:b/>
      <w:bCs/>
      <w:i/>
      <w:iCs/>
      <w:sz w:val="28"/>
      <w:szCs w:val="28"/>
    </w:rPr>
  </w:style>
  <w:style w:type="paragraph" w:customStyle="1" w:styleId="DocumentHead">
    <w:name w:val="Document Head"/>
    <w:basedOn w:val="a"/>
    <w:pPr>
      <w:spacing w:line="360" w:lineRule="auto"/>
      <w:jc w:val="center"/>
    </w:pPr>
    <w:rPr>
      <w:bCs/>
      <w:spacing w:val="30"/>
      <w:szCs w:val="28"/>
      <w:u w:val="single"/>
    </w:rPr>
  </w:style>
  <w:style w:type="paragraph" w:customStyle="1" w:styleId="TfutzaList">
    <w:name w:val="Tfutza List"/>
    <w:basedOn w:val="a"/>
    <w:rPr>
      <w:i/>
      <w:iCs/>
    </w:rPr>
  </w:style>
  <w:style w:type="paragraph" w:customStyle="1" w:styleId="Ruller40">
    <w:name w:val="Ruller4"/>
    <w:basedOn w:val="a"/>
    <w:rsid w:val="00A51FAE"/>
    <w:pPr>
      <w:tabs>
        <w:tab w:val="left" w:pos="800"/>
      </w:tabs>
      <w:spacing w:line="360" w:lineRule="auto"/>
      <w:jc w:val="both"/>
    </w:pPr>
    <w:rPr>
      <w:rFonts w:ascii="Arial TUR" w:hAnsi="Arial TUR" w:cs="FrankRuehl"/>
      <w:spacing w:val="10"/>
      <w:sz w:val="22"/>
      <w:szCs w:val="28"/>
    </w:rPr>
  </w:style>
  <w:style w:type="paragraph" w:customStyle="1" w:styleId="Ruller5">
    <w:name w:val="Ruller5"/>
    <w:basedOn w:val="a"/>
    <w:rsid w:val="00A51FAE"/>
    <w:pPr>
      <w:ind w:left="1642" w:right="1282"/>
      <w:jc w:val="both"/>
    </w:pPr>
    <w:rPr>
      <w:rFonts w:ascii="Arial TUR" w:hAnsi="Arial TUR" w:cs="FrankRuehl"/>
      <w:spacing w:val="10"/>
      <w:sz w:val="22"/>
      <w:szCs w:val="28"/>
    </w:rPr>
  </w:style>
  <w:style w:type="paragraph" w:customStyle="1" w:styleId="Ruller6">
    <w:name w:val="Ruller6"/>
    <w:basedOn w:val="a"/>
    <w:rsid w:val="00A51FAE"/>
    <w:pPr>
      <w:tabs>
        <w:tab w:val="left" w:pos="794"/>
        <w:tab w:val="left" w:pos="2268"/>
        <w:tab w:val="left" w:pos="5783"/>
        <w:tab w:val="left" w:pos="7371"/>
      </w:tabs>
    </w:pPr>
    <w:rPr>
      <w:rFonts w:ascii="Arial TUR" w:hAnsi="Arial TUR" w:cs="DavidFix"/>
      <w:spacing w:val="10"/>
      <w:sz w:val="22"/>
      <w:szCs w:val="20"/>
    </w:rPr>
  </w:style>
  <w:style w:type="character" w:customStyle="1" w:styleId="Delete">
    <w:name w:val="Delete"/>
    <w:rPr>
      <w:strike/>
    </w:rPr>
  </w:style>
  <w:style w:type="paragraph" w:customStyle="1" w:styleId="WriterName">
    <w:name w:val="Writer Name"/>
    <w:basedOn w:val="Ruller40"/>
    <w:next w:val="Ruller40"/>
    <w:rPr>
      <w:rFonts w:cs="David"/>
      <w:b/>
      <w:bCs/>
      <w:u w:val="single"/>
    </w:rPr>
  </w:style>
  <w:style w:type="character" w:customStyle="1" w:styleId="Hand">
    <w:name w:val="Hand"/>
    <w:rPr>
      <w:rFonts w:cs="Guttman Yad"/>
    </w:rPr>
  </w:style>
  <w:style w:type="paragraph" w:styleId="a3">
    <w:name w:val="footer"/>
    <w:basedOn w:val="a"/>
    <w:pPr>
      <w:tabs>
        <w:tab w:val="center" w:pos="4153"/>
        <w:tab w:val="right" w:pos="8306"/>
      </w:tabs>
    </w:pPr>
  </w:style>
  <w:style w:type="character" w:styleId="a4">
    <w:name w:val="page number"/>
    <w:basedOn w:val="a0"/>
  </w:style>
  <w:style w:type="paragraph" w:styleId="a5">
    <w:name w:val="header"/>
    <w:basedOn w:val="a"/>
    <w:pPr>
      <w:tabs>
        <w:tab w:val="center" w:pos="4153"/>
        <w:tab w:val="right" w:pos="8306"/>
      </w:tabs>
    </w:pPr>
  </w:style>
  <w:style w:type="paragraph" w:customStyle="1" w:styleId="2">
    <w:name w:val="ñâðåï2"/>
    <w:basedOn w:val="a"/>
    <w:pPr>
      <w:overflowPunct/>
      <w:textAlignment w:val="auto"/>
    </w:pPr>
    <w:rPr>
      <w:rFonts w:cs="Times New Roman"/>
    </w:rPr>
  </w:style>
  <w:style w:type="paragraph" w:customStyle="1" w:styleId="Casenameintextbody">
    <w:name w:val="Case name in text body"/>
    <w:basedOn w:val="a"/>
    <w:pPr>
      <w:overflowPunct/>
      <w:jc w:val="right"/>
      <w:textAlignment w:val="auto"/>
    </w:pPr>
    <w:rPr>
      <w:rFonts w:cs="Times New Roman"/>
      <w:b/>
      <w:bCs/>
      <w:u w:val="single"/>
    </w:rPr>
  </w:style>
  <w:style w:type="paragraph" w:customStyle="1" w:styleId="precasestyle">
    <w:name w:val="pre_case style"/>
    <w:basedOn w:val="a"/>
    <w:pPr>
      <w:tabs>
        <w:tab w:val="left" w:pos="2552"/>
      </w:tabs>
      <w:overflowPunct/>
      <w:ind w:right="2549"/>
      <w:textAlignment w:val="auto"/>
    </w:pPr>
    <w:rPr>
      <w:rFonts w:cs="Times New Roman"/>
    </w:rPr>
  </w:style>
  <w:style w:type="paragraph" w:customStyle="1" w:styleId="BodyRuller">
    <w:name w:val="Body Ruller"/>
    <w:basedOn w:val="a"/>
    <w:rPr>
      <w:sz w:val="22"/>
      <w:szCs w:val="28"/>
    </w:rPr>
  </w:style>
  <w:style w:type="paragraph" w:customStyle="1" w:styleId="Ruller38">
    <w:name w:val="סגנון Ruller 3 + (מורכב) ‏8 נק"/>
    <w:basedOn w:val="BodyRuller"/>
    <w:rPr>
      <w:szCs w:val="16"/>
    </w:rPr>
  </w:style>
  <w:style w:type="character" w:customStyle="1" w:styleId="Ruller30">
    <w:name w:val="Ruller 3 תו"/>
    <w:rPr>
      <w:rFonts w:cs="FrankRuehl"/>
      <w:sz w:val="22"/>
      <w:szCs w:val="28"/>
      <w:lang w:val="en-US" w:eastAsia="en-US" w:bidi="he-IL"/>
    </w:rPr>
  </w:style>
  <w:style w:type="character" w:customStyle="1" w:styleId="BodyRuller0">
    <w:name w:val="Body Ruller תו"/>
    <w:rPr>
      <w:rFonts w:cs="David"/>
      <w:sz w:val="22"/>
      <w:szCs w:val="28"/>
      <w:lang w:val="en-US" w:eastAsia="en-US" w:bidi="he-IL"/>
    </w:rPr>
  </w:style>
  <w:style w:type="character" w:customStyle="1" w:styleId="Ruller380">
    <w:name w:val="סגנון Ruller 3 + (מורכב) ‏8 נק תו"/>
    <w:rPr>
      <w:rFonts w:cs="David"/>
      <w:sz w:val="22"/>
      <w:szCs w:val="16"/>
      <w:lang w:val="en-US" w:eastAsia="en-US" w:bidi="he-IL"/>
    </w:rPr>
  </w:style>
  <w:style w:type="paragraph" w:customStyle="1" w:styleId="FileNumber0">
    <w:name w:val="סגנון File Number + ימין"/>
    <w:basedOn w:val="FileNumber"/>
    <w:rsid w:val="004C7868"/>
    <w:pPr>
      <w:jc w:val="left"/>
    </w:pPr>
    <w:rPr>
      <w:szCs w:val="28"/>
    </w:rPr>
  </w:style>
  <w:style w:type="paragraph" w:customStyle="1" w:styleId="BODYVERDICT">
    <w:name w:val="BODY VERDICT"/>
    <w:basedOn w:val="a"/>
    <w:rsid w:val="00036227"/>
    <w:rPr>
      <w:rFonts w:cs="FrankRuehl"/>
      <w:spacing w:val="10"/>
      <w:sz w:val="22"/>
      <w:szCs w:val="28"/>
    </w:rPr>
  </w:style>
  <w:style w:type="character" w:styleId="Hyperlink">
    <w:name w:val="Hyperlink"/>
    <w:rsid w:val="003F1F97"/>
    <w:rPr>
      <w:color w:val="0000FF"/>
      <w:u w:val="single"/>
    </w:rPr>
  </w:style>
  <w:style w:type="table" w:styleId="a6">
    <w:name w:val="Table Grid"/>
    <w:basedOn w:val="a1"/>
    <w:rsid w:val="003F1F97"/>
    <w:pPr>
      <w:overflowPunct w:val="0"/>
      <w:autoSpaceDE w:val="0"/>
      <w:autoSpaceDN w:val="0"/>
      <w:bidi/>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a0"/>
    <w:rsid w:val="0058440A"/>
    <w:rPr>
      <w:color w:val="954F72" w:themeColor="followedHyperlink"/>
      <w:u w:val="single"/>
    </w:rPr>
  </w:style>
  <w:style w:type="character" w:styleId="a7">
    <w:name w:val="annotation reference"/>
    <w:basedOn w:val="a0"/>
    <w:rsid w:val="00D00B1D"/>
    <w:rPr>
      <w:sz w:val="16"/>
      <w:szCs w:val="16"/>
    </w:rPr>
  </w:style>
  <w:style w:type="paragraph" w:styleId="a8">
    <w:name w:val="annotation text"/>
    <w:basedOn w:val="a"/>
    <w:link w:val="a9"/>
    <w:rsid w:val="00D00B1D"/>
    <w:rPr>
      <w:szCs w:val="20"/>
    </w:rPr>
  </w:style>
  <w:style w:type="character" w:customStyle="1" w:styleId="a9">
    <w:name w:val="טקסט הערה תו"/>
    <w:basedOn w:val="a0"/>
    <w:link w:val="a8"/>
    <w:rsid w:val="00D00B1D"/>
    <w:rPr>
      <w:rFonts w:cs="David"/>
    </w:rPr>
  </w:style>
  <w:style w:type="paragraph" w:styleId="aa">
    <w:name w:val="annotation subject"/>
    <w:basedOn w:val="a8"/>
    <w:next w:val="a8"/>
    <w:link w:val="ab"/>
    <w:rsid w:val="00D00B1D"/>
    <w:rPr>
      <w:b/>
      <w:bCs/>
    </w:rPr>
  </w:style>
  <w:style w:type="character" w:customStyle="1" w:styleId="ab">
    <w:name w:val="נושא הערה תו"/>
    <w:basedOn w:val="a9"/>
    <w:link w:val="aa"/>
    <w:rsid w:val="00D00B1D"/>
    <w:rPr>
      <w:rFonts w:cs="David"/>
      <w:b/>
      <w:bCs/>
    </w:rPr>
  </w:style>
  <w:style w:type="paragraph" w:styleId="ac">
    <w:name w:val="Balloon Text"/>
    <w:basedOn w:val="a"/>
    <w:link w:val="ad"/>
    <w:rsid w:val="00D00B1D"/>
    <w:rPr>
      <w:rFonts w:ascii="Tahoma" w:hAnsi="Tahoma" w:cs="Tahoma"/>
      <w:sz w:val="18"/>
      <w:szCs w:val="18"/>
    </w:rPr>
  </w:style>
  <w:style w:type="character" w:customStyle="1" w:styleId="ad">
    <w:name w:val="טקסט בלונים תו"/>
    <w:basedOn w:val="a0"/>
    <w:link w:val="ac"/>
    <w:rsid w:val="00D00B1D"/>
    <w:rPr>
      <w:rFonts w:ascii="Tahoma" w:hAnsi="Tahoma" w:cs="Tahoma"/>
      <w:sz w:val="18"/>
      <w:szCs w:val="18"/>
    </w:rPr>
  </w:style>
  <w:style w:type="paragraph" w:customStyle="1" w:styleId="Ruller4">
    <w:name w:val="Ruller 4 ממוספר"/>
    <w:basedOn w:val="Ruller40"/>
    <w:next w:val="Ruller40"/>
    <w:rsid w:val="0007657B"/>
    <w:pPr>
      <w:numPr>
        <w:numId w:val="11"/>
      </w:numPr>
    </w:pPr>
    <w:rPr>
      <w:rFonts w:ascii="Garamond" w:hAnsi="Garamon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yperlink" Target="https://supreme.court.gov.i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1562</Words>
  <Characters>7816</Characters>
  <Application>Microsoft Office Word</Application>
  <DocSecurity>0</DocSecurity>
  <Lines>65</Lines>
  <Paragraphs>18</Paragraphs>
  <ScaleCrop>false</ScaleCrop>
  <HeadingPairs>
    <vt:vector size="2" baseType="variant">
      <vt:variant>
        <vt:lpstr>שם</vt:lpstr>
      </vt:variant>
      <vt:variant>
        <vt:i4>1</vt:i4>
      </vt:variant>
    </vt:vector>
  </HeadingPairs>
  <TitlesOfParts>
    <vt:vector size="1" baseType="lpstr">
      <vt:lpstr>פסק-דין בתיק בג"ץ  1893/23</vt:lpstr>
    </vt:vector>
  </TitlesOfParts>
  <Company/>
  <LinksUpToDate>false</LinksUpToDate>
  <CharactersWithSpaces>9360</CharactersWithSpaces>
  <SharedDoc>false</SharedDoc>
  <HLinks>
    <vt:vector size="6" baseType="variant">
      <vt:variant>
        <vt:i4>1966158</vt:i4>
      </vt:variant>
      <vt:variant>
        <vt:i4>12</vt:i4>
      </vt:variant>
      <vt:variant>
        <vt:i4>0</vt:i4>
      </vt:variant>
      <vt:variant>
        <vt:i4>5</vt:i4>
      </vt:variant>
      <vt:variant>
        <vt:lpwstr>http://www.court.gov.il/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
  <cp:lastPrinted>2023-03-22T15:16:53Z</cp:lastPrinted>
  <dcterms:created xsi:type="dcterms:W3CDTF">2023-03-22T15:16:53Z</dcterms:created>
  <dcterms:modified xsi:type="dcterms:W3CDTF">2023-03-22T15:16:53Z</dcterms:modified>
</cp:coreProperties>
</file>