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bidiVisual/>
        <w:tblW w:w="8363" w:type="dxa"/>
        <w:tblInd w:w="9" w:type="dxa"/>
        <w:tblLook w:val="0000" w:firstRow="0" w:lastRow="0" w:firstColumn="0" w:lastColumn="0" w:noHBand="0" w:noVBand="0"/>
      </w:tblPr>
      <w:tblGrid>
        <w:gridCol w:w="8363"/>
      </w:tblGrid>
      <w:tr w:rsidR="00036227" w:rsidTr="003E7295">
        <w:tc>
          <w:tcPr>
            <w:tcW w:w="8363" w:type="dxa"/>
          </w:tcPr>
          <w:p w:rsidR="00916FF8" w:rsidRPr="00624A42" w:rsidRDefault="00E01476" w:rsidP="004C7868">
            <w:pPr>
              <w:pStyle w:val="FileNumber0"/>
              <w:rPr>
                <w:sz w:val="28"/>
                <w:u w:val="single"/>
                <w:rtl/>
              </w:rPr>
            </w:pPr>
            <w:r>
              <w:rPr>
                <w:u w:val="single"/>
                <w:rtl/>
              </w:rPr>
              <w:t>בבית המשפט העליון בשבתו כבית משפט לערעורים בעניינים מינהליים</w:t>
            </w:r>
          </w:p>
        </w:tc>
      </w:tr>
    </w:tbl>
    <w:p w:rsidR="00916FF8" w:rsidRDefault="00916FF8">
      <w:pPr>
        <w:jc w:val="right"/>
        <w:rPr>
          <w:rFonts w:cs="Miriam"/>
          <w:b/>
          <w:bCs/>
          <w:u w:val="single"/>
        </w:rPr>
      </w:pPr>
    </w:p>
    <w:tbl>
      <w:tblPr>
        <w:bidiVisual/>
        <w:tblW w:w="8363" w:type="dxa"/>
        <w:tblLook w:val="0000" w:firstRow="0" w:lastRow="0" w:firstColumn="0" w:lastColumn="0" w:noHBand="0" w:noVBand="0"/>
      </w:tblPr>
      <w:tblGrid>
        <w:gridCol w:w="8363"/>
      </w:tblGrid>
      <w:tr w:rsidR="00036227" w:rsidTr="0039709B">
        <w:trPr>
          <w:trHeight w:val="342"/>
        </w:trPr>
        <w:tc>
          <w:tcPr>
            <w:tcW w:w="9828" w:type="dxa"/>
          </w:tcPr>
          <w:p w:rsidR="00916FF8" w:rsidRPr="00810894" w:rsidRDefault="003E7295" w:rsidP="003E7295">
            <w:pPr>
              <w:pStyle w:val="FileNumber"/>
              <w:rPr>
                <w:sz w:val="28"/>
                <w:szCs w:val="28"/>
              </w:rPr>
            </w:pPr>
            <w:bookmarkStart w:id="0" w:name="casename_body"/>
            <w:proofErr w:type="spellStart"/>
            <w:r>
              <w:rPr>
                <w:sz w:val="28"/>
                <w:szCs w:val="28"/>
                <w:rtl/>
              </w:rPr>
              <w:t>עע"</w:t>
            </w:r>
            <w:r>
              <w:rPr>
                <w:rFonts w:hint="cs"/>
                <w:sz w:val="28"/>
                <w:szCs w:val="28"/>
                <w:rtl/>
              </w:rPr>
              <w:t>ם</w:t>
            </w:r>
            <w:proofErr w:type="spellEnd"/>
            <w:r w:rsidR="00E01476">
              <w:rPr>
                <w:sz w:val="28"/>
                <w:szCs w:val="28"/>
                <w:rtl/>
              </w:rPr>
              <w:t xml:space="preserve"> 3461/22</w:t>
            </w:r>
          </w:p>
        </w:tc>
      </w:tr>
      <w:bookmarkEnd w:id="0"/>
    </w:tbl>
    <w:p w:rsidR="00916FF8" w:rsidRPr="003A5DBB" w:rsidRDefault="00916FF8" w:rsidP="003A5DBB">
      <w:pPr>
        <w:spacing w:line="360" w:lineRule="auto"/>
        <w:jc w:val="right"/>
        <w:rPr>
          <w:rFonts w:cs="Miriam"/>
          <w:b/>
          <w:bCs/>
        </w:rPr>
      </w:pPr>
    </w:p>
    <w:tbl>
      <w:tblPr>
        <w:bidiVisual/>
        <w:tblW w:w="8364" w:type="dxa"/>
        <w:tblLayout w:type="fixed"/>
        <w:tblLook w:val="0000" w:firstRow="0" w:lastRow="0" w:firstColumn="0" w:lastColumn="0" w:noHBand="0" w:noVBand="0"/>
      </w:tblPr>
      <w:tblGrid>
        <w:gridCol w:w="3210"/>
        <w:gridCol w:w="5154"/>
      </w:tblGrid>
      <w:tr w:rsidR="00036227" w:rsidTr="00EC23AC">
        <w:trPr>
          <w:trHeight w:val="287"/>
        </w:trPr>
        <w:tc>
          <w:tcPr>
            <w:tcW w:w="3261" w:type="dxa"/>
          </w:tcPr>
          <w:p w:rsidR="00036227" w:rsidRDefault="00CB7600">
            <w:pPr>
              <w:pStyle w:val="BodyRuller"/>
              <w:rPr>
                <w:rFonts w:cs="Miriam"/>
                <w:b/>
                <w:bCs/>
                <w:u w:val="single"/>
              </w:rPr>
            </w:pPr>
            <w:r>
              <w:rPr>
                <w:rFonts w:hint="cs"/>
                <w:rtl/>
              </w:rPr>
              <w:t>ל</w:t>
            </w:r>
            <w:r w:rsidR="00036227">
              <w:rPr>
                <w:rtl/>
              </w:rPr>
              <w:t>פני:</w:t>
            </w:r>
            <w:r w:rsidR="00036227">
              <w:rPr>
                <w:rtl/>
              </w:rPr>
              <w:tab/>
            </w:r>
          </w:p>
        </w:tc>
        <w:tc>
          <w:tcPr>
            <w:tcW w:w="5239" w:type="dxa"/>
          </w:tcPr>
          <w:p w:rsidR="00036227" w:rsidRDefault="00E01476">
            <w:pPr>
              <w:pStyle w:val="BodyRuller"/>
            </w:pPr>
            <w:r>
              <w:rPr>
                <w:rtl/>
              </w:rPr>
              <w:t>כבוד המשנה לנשיאה ע' פוגלמן</w:t>
            </w:r>
          </w:p>
        </w:tc>
      </w:tr>
      <w:tr w:rsidR="00E01476" w:rsidTr="00EC23AC">
        <w:trPr>
          <w:trHeight w:val="287"/>
        </w:trPr>
        <w:tc>
          <w:tcPr>
            <w:tcW w:w="3261" w:type="dxa"/>
          </w:tcPr>
          <w:p w:rsidR="00E01476" w:rsidRDefault="00E01476">
            <w:pPr>
              <w:pStyle w:val="BodyRuller"/>
              <w:rPr>
                <w:rtl/>
              </w:rPr>
            </w:pPr>
          </w:p>
        </w:tc>
        <w:tc>
          <w:tcPr>
            <w:tcW w:w="5239" w:type="dxa"/>
          </w:tcPr>
          <w:p w:rsidR="00E01476" w:rsidRDefault="00E01476">
            <w:pPr>
              <w:pStyle w:val="BodyRuller"/>
              <w:rPr>
                <w:rtl/>
              </w:rPr>
            </w:pPr>
            <w:r>
              <w:rPr>
                <w:rtl/>
              </w:rPr>
              <w:t>כבוד השופט ד' מינץ</w:t>
            </w:r>
          </w:p>
        </w:tc>
      </w:tr>
      <w:tr w:rsidR="00E01476" w:rsidTr="00EC23AC">
        <w:trPr>
          <w:trHeight w:val="287"/>
        </w:trPr>
        <w:tc>
          <w:tcPr>
            <w:tcW w:w="3261" w:type="dxa"/>
          </w:tcPr>
          <w:p w:rsidR="00E01476" w:rsidRDefault="00E01476">
            <w:pPr>
              <w:pStyle w:val="BodyRuller"/>
              <w:rPr>
                <w:rtl/>
              </w:rPr>
            </w:pPr>
          </w:p>
        </w:tc>
        <w:tc>
          <w:tcPr>
            <w:tcW w:w="5239" w:type="dxa"/>
          </w:tcPr>
          <w:p w:rsidR="00E01476" w:rsidRDefault="00E01476">
            <w:pPr>
              <w:pStyle w:val="BodyRuller"/>
              <w:rPr>
                <w:rtl/>
              </w:rPr>
            </w:pPr>
            <w:r>
              <w:rPr>
                <w:rtl/>
              </w:rPr>
              <w:t>כבוד השופט י' כשר</w:t>
            </w:r>
          </w:p>
        </w:tc>
      </w:tr>
    </w:tbl>
    <w:p w:rsidR="00916FF8" w:rsidRPr="003A5DBB" w:rsidRDefault="00916FF8" w:rsidP="003A5DBB">
      <w:pPr>
        <w:spacing w:line="360" w:lineRule="auto"/>
        <w:jc w:val="right"/>
        <w:rPr>
          <w:rFonts w:cs="Miriam"/>
          <w:b/>
          <w:bCs/>
          <w:rtl/>
        </w:rPr>
      </w:pPr>
    </w:p>
    <w:tbl>
      <w:tblPr>
        <w:bidiVisual/>
        <w:tblW w:w="8364" w:type="dxa"/>
        <w:tblLayout w:type="fixed"/>
        <w:tblLook w:val="0000" w:firstRow="0" w:lastRow="0" w:firstColumn="0" w:lastColumn="0" w:noHBand="0" w:noVBand="0"/>
      </w:tblPr>
      <w:tblGrid>
        <w:gridCol w:w="3210"/>
        <w:gridCol w:w="5154"/>
      </w:tblGrid>
      <w:tr w:rsidR="00D00CB7" w:rsidTr="00DD6306">
        <w:trPr>
          <w:trHeight w:val="287"/>
        </w:trPr>
        <w:tc>
          <w:tcPr>
            <w:tcW w:w="3261" w:type="dxa"/>
          </w:tcPr>
          <w:p w:rsidR="00D00CB7" w:rsidRPr="00E75223" w:rsidRDefault="00E01476" w:rsidP="00DD6306">
            <w:pPr>
              <w:pStyle w:val="BodyRuller"/>
              <w:rPr>
                <w:rFonts w:ascii="David" w:hAnsi="David"/>
              </w:rPr>
            </w:pPr>
            <w:r>
              <w:rPr>
                <w:rFonts w:ascii="David" w:hAnsi="David"/>
                <w:rtl/>
              </w:rPr>
              <w:t>המערער:</w:t>
            </w:r>
          </w:p>
        </w:tc>
        <w:tc>
          <w:tcPr>
            <w:tcW w:w="5239" w:type="dxa"/>
          </w:tcPr>
          <w:p w:rsidR="00D00CB7" w:rsidRDefault="00E01476" w:rsidP="00DD6306">
            <w:pPr>
              <w:pStyle w:val="BodyRuller"/>
            </w:pPr>
            <w:r>
              <w:rPr>
                <w:rtl/>
              </w:rPr>
              <w:t xml:space="preserve">יעקב </w:t>
            </w:r>
            <w:proofErr w:type="spellStart"/>
            <w:r>
              <w:rPr>
                <w:rtl/>
              </w:rPr>
              <w:t>ברמר</w:t>
            </w:r>
            <w:proofErr w:type="spellEnd"/>
          </w:p>
        </w:tc>
      </w:tr>
    </w:tbl>
    <w:p w:rsidR="00D00CB7" w:rsidRPr="003A5DBB" w:rsidRDefault="00D00CB7" w:rsidP="003A5DBB">
      <w:pPr>
        <w:spacing w:line="360" w:lineRule="auto"/>
        <w:jc w:val="right"/>
        <w:rPr>
          <w:rFonts w:cs="Miriam"/>
          <w:b/>
          <w:bCs/>
        </w:rPr>
      </w:pPr>
    </w:p>
    <w:tbl>
      <w:tblPr>
        <w:bidiVisual/>
        <w:tblW w:w="8363" w:type="dxa"/>
        <w:tblLook w:val="0000" w:firstRow="0" w:lastRow="0" w:firstColumn="0" w:lastColumn="0" w:noHBand="0" w:noVBand="0"/>
      </w:tblPr>
      <w:tblGrid>
        <w:gridCol w:w="3222"/>
        <w:gridCol w:w="5141"/>
      </w:tblGrid>
      <w:tr w:rsidR="00036227" w:rsidTr="0039709B">
        <w:tc>
          <w:tcPr>
            <w:tcW w:w="3284" w:type="dxa"/>
          </w:tcPr>
          <w:p w:rsidR="00036227" w:rsidRDefault="00036227">
            <w:pPr>
              <w:pStyle w:val="BodyRuller"/>
            </w:pPr>
          </w:p>
        </w:tc>
        <w:tc>
          <w:tcPr>
            <w:tcW w:w="5238" w:type="dxa"/>
          </w:tcPr>
          <w:p w:rsidR="00036227" w:rsidRDefault="00036227">
            <w:pPr>
              <w:pStyle w:val="BodyRuller"/>
            </w:pPr>
            <w:r>
              <w:rPr>
                <w:rFonts w:hint="cs"/>
                <w:rtl/>
              </w:rPr>
              <w:t>נ</w:t>
            </w:r>
            <w:r>
              <w:t xml:space="preserve">  </w:t>
            </w:r>
            <w:r>
              <w:rPr>
                <w:rFonts w:hint="cs"/>
                <w:rtl/>
              </w:rPr>
              <w:t>ג</w:t>
            </w:r>
            <w:r>
              <w:t xml:space="preserve">  </w:t>
            </w:r>
            <w:r>
              <w:rPr>
                <w:rFonts w:hint="cs"/>
                <w:rtl/>
              </w:rPr>
              <w:t>ד</w:t>
            </w:r>
          </w:p>
        </w:tc>
      </w:tr>
    </w:tbl>
    <w:p w:rsidR="00916FF8" w:rsidRPr="003A5DBB" w:rsidRDefault="00916FF8" w:rsidP="003A5DBB">
      <w:pPr>
        <w:spacing w:line="360" w:lineRule="auto"/>
        <w:jc w:val="right"/>
        <w:rPr>
          <w:rFonts w:cs="Miriam"/>
          <w:b/>
          <w:bCs/>
          <w:rtl/>
        </w:rPr>
      </w:pPr>
    </w:p>
    <w:tbl>
      <w:tblPr>
        <w:bidiVisual/>
        <w:tblW w:w="8364" w:type="dxa"/>
        <w:tblLayout w:type="fixed"/>
        <w:tblLook w:val="0000" w:firstRow="0" w:lastRow="0" w:firstColumn="0" w:lastColumn="0" w:noHBand="0" w:noVBand="0"/>
      </w:tblPr>
      <w:tblGrid>
        <w:gridCol w:w="3210"/>
        <w:gridCol w:w="5154"/>
      </w:tblGrid>
      <w:tr w:rsidR="0083345F" w:rsidTr="00DD6306">
        <w:trPr>
          <w:trHeight w:val="287"/>
        </w:trPr>
        <w:tc>
          <w:tcPr>
            <w:tcW w:w="3261" w:type="dxa"/>
          </w:tcPr>
          <w:p w:rsidR="0083345F" w:rsidRPr="00E75223" w:rsidRDefault="00E01476" w:rsidP="00DD6306">
            <w:pPr>
              <w:pStyle w:val="BodyRuller"/>
              <w:rPr>
                <w:rFonts w:ascii="David" w:hAnsi="David"/>
              </w:rPr>
            </w:pPr>
            <w:r>
              <w:rPr>
                <w:rFonts w:ascii="David" w:hAnsi="David"/>
                <w:rtl/>
              </w:rPr>
              <w:t>המשיבים:</w:t>
            </w:r>
          </w:p>
        </w:tc>
        <w:tc>
          <w:tcPr>
            <w:tcW w:w="5239" w:type="dxa"/>
          </w:tcPr>
          <w:p w:rsidR="0083345F" w:rsidRDefault="003E7295" w:rsidP="00DD6306">
            <w:pPr>
              <w:pStyle w:val="BodyRuller"/>
            </w:pPr>
            <w:r>
              <w:rPr>
                <w:rtl/>
              </w:rPr>
              <w:t xml:space="preserve">1. </w:t>
            </w:r>
            <w:r w:rsidR="00E01476">
              <w:rPr>
                <w:rtl/>
              </w:rPr>
              <w:t>ראש עיריית תל אביב</w:t>
            </w:r>
            <w:r>
              <w:rPr>
                <w:rFonts w:hint="cs"/>
                <w:rtl/>
              </w:rPr>
              <w:t>-יפו</w:t>
            </w:r>
          </w:p>
        </w:tc>
      </w:tr>
      <w:tr w:rsidR="00E01476" w:rsidTr="00DD6306">
        <w:trPr>
          <w:trHeight w:val="287"/>
        </w:trPr>
        <w:tc>
          <w:tcPr>
            <w:tcW w:w="3261" w:type="dxa"/>
          </w:tcPr>
          <w:p w:rsidR="00E01476" w:rsidRDefault="00E01476" w:rsidP="00DD6306">
            <w:pPr>
              <w:pStyle w:val="BodyRuller"/>
              <w:rPr>
                <w:rFonts w:ascii="David" w:hAnsi="David"/>
                <w:rtl/>
              </w:rPr>
            </w:pPr>
          </w:p>
        </w:tc>
        <w:tc>
          <w:tcPr>
            <w:tcW w:w="5239" w:type="dxa"/>
          </w:tcPr>
          <w:p w:rsidR="00E01476" w:rsidRDefault="003E7295" w:rsidP="003E7295">
            <w:pPr>
              <w:pStyle w:val="BodyRuller"/>
              <w:rPr>
                <w:rtl/>
              </w:rPr>
            </w:pPr>
            <w:r>
              <w:rPr>
                <w:rtl/>
              </w:rPr>
              <w:t>2. עיר</w:t>
            </w:r>
            <w:r>
              <w:rPr>
                <w:rFonts w:hint="cs"/>
                <w:rtl/>
              </w:rPr>
              <w:t>יי</w:t>
            </w:r>
            <w:r>
              <w:rPr>
                <w:rtl/>
              </w:rPr>
              <w:t>ת תל אביב</w:t>
            </w:r>
            <w:r>
              <w:rPr>
                <w:rFonts w:hint="cs"/>
                <w:rtl/>
              </w:rPr>
              <w:t>-</w:t>
            </w:r>
            <w:r w:rsidR="00E01476">
              <w:rPr>
                <w:rtl/>
              </w:rPr>
              <w:t>יפו</w:t>
            </w:r>
          </w:p>
        </w:tc>
      </w:tr>
    </w:tbl>
    <w:p w:rsidR="0083345F" w:rsidRPr="003A5DBB" w:rsidRDefault="0083345F" w:rsidP="003A5DBB">
      <w:pPr>
        <w:spacing w:line="360" w:lineRule="auto"/>
        <w:jc w:val="right"/>
        <w:rPr>
          <w:rFonts w:cs="Miriam"/>
          <w:b/>
          <w:bCs/>
        </w:rPr>
      </w:pPr>
    </w:p>
    <w:tbl>
      <w:tblPr>
        <w:bidiVisual/>
        <w:tblW w:w="0" w:type="auto"/>
        <w:tblInd w:w="3209" w:type="dxa"/>
        <w:tblLook w:val="0000" w:firstRow="0" w:lastRow="0" w:firstColumn="0" w:lastColumn="0" w:noHBand="0" w:noVBand="0"/>
      </w:tblPr>
      <w:tblGrid>
        <w:gridCol w:w="5103"/>
      </w:tblGrid>
      <w:tr w:rsidR="00036227" w:rsidTr="00CA1444">
        <w:tc>
          <w:tcPr>
            <w:tcW w:w="5103" w:type="dxa"/>
          </w:tcPr>
          <w:p w:rsidR="00916FF8" w:rsidRPr="00265F6E" w:rsidRDefault="003A5DBB" w:rsidP="00C235E1">
            <w:pPr>
              <w:pStyle w:val="BodyRuller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ערעור על פסק </w:t>
            </w:r>
            <w:r>
              <w:rPr>
                <w:rFonts w:hint="cs"/>
                <w:sz w:val="24"/>
                <w:szCs w:val="24"/>
                <w:rtl/>
              </w:rPr>
              <w:t>הדין</w:t>
            </w:r>
            <w:r>
              <w:rPr>
                <w:sz w:val="24"/>
                <w:szCs w:val="24"/>
                <w:rtl/>
              </w:rPr>
              <w:t xml:space="preserve"> של בית המשפט </w:t>
            </w:r>
            <w:r>
              <w:rPr>
                <w:rFonts w:hint="cs"/>
                <w:sz w:val="24"/>
                <w:szCs w:val="24"/>
                <w:rtl/>
              </w:rPr>
              <w:t>ל</w:t>
            </w:r>
            <w:r w:rsidR="00E01476">
              <w:rPr>
                <w:sz w:val="24"/>
                <w:szCs w:val="24"/>
                <w:rtl/>
              </w:rPr>
              <w:t xml:space="preserve">עניינים </w:t>
            </w:r>
            <w:proofErr w:type="spellStart"/>
            <w:r w:rsidR="00E01476">
              <w:rPr>
                <w:sz w:val="24"/>
                <w:szCs w:val="24"/>
                <w:rtl/>
              </w:rPr>
              <w:t>מינהליים</w:t>
            </w:r>
            <w:proofErr w:type="spellEnd"/>
            <w:r w:rsidR="00E01476">
              <w:rPr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>ב</w:t>
            </w:r>
            <w:r w:rsidR="00E01476">
              <w:rPr>
                <w:sz w:val="24"/>
                <w:szCs w:val="24"/>
                <w:rtl/>
              </w:rPr>
              <w:t>תל אביב</w:t>
            </w:r>
            <w:r>
              <w:rPr>
                <w:rFonts w:hint="cs"/>
                <w:sz w:val="24"/>
                <w:szCs w:val="24"/>
                <w:rtl/>
              </w:rPr>
              <w:t>-יפו (כב</w:t>
            </w:r>
            <w:r w:rsidR="00C235E1">
              <w:rPr>
                <w:rFonts w:hint="cs"/>
                <w:sz w:val="24"/>
                <w:szCs w:val="24"/>
                <w:rtl/>
              </w:rPr>
              <w:t>'</w:t>
            </w:r>
            <w:r>
              <w:rPr>
                <w:rFonts w:hint="cs"/>
                <w:sz w:val="24"/>
                <w:szCs w:val="24"/>
                <w:rtl/>
              </w:rPr>
              <w:t xml:space="preserve"> השופט העמית ק' ורדי)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בעת"ם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50115-02-22 מיום 29.3.2022</w:t>
            </w:r>
          </w:p>
        </w:tc>
      </w:tr>
    </w:tbl>
    <w:p w:rsidR="00916FF8" w:rsidRPr="00BC7D7A" w:rsidRDefault="00916FF8" w:rsidP="00BC7D7A">
      <w:pPr>
        <w:spacing w:line="360" w:lineRule="auto"/>
        <w:jc w:val="right"/>
        <w:rPr>
          <w:rFonts w:cs="Miriam"/>
          <w:b/>
          <w:bCs/>
          <w:rtl/>
        </w:rPr>
      </w:pPr>
    </w:p>
    <w:tbl>
      <w:tblPr>
        <w:bidiVisual/>
        <w:tblW w:w="8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30"/>
        <w:gridCol w:w="2423"/>
        <w:gridCol w:w="2710"/>
      </w:tblGrid>
      <w:tr w:rsidR="008C2F11" w:rsidTr="00D00B1D"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</w:tcPr>
          <w:p w:rsidR="008C2F11" w:rsidRPr="00265F6E" w:rsidRDefault="008C2F11">
            <w:pPr>
              <w:pStyle w:val="BodyRuller"/>
              <w:rPr>
                <w:sz w:val="24"/>
                <w:szCs w:val="24"/>
              </w:rPr>
            </w:pPr>
            <w:r w:rsidRPr="00265F6E">
              <w:rPr>
                <w:sz w:val="24"/>
                <w:szCs w:val="24"/>
                <w:rtl/>
              </w:rPr>
              <w:t>תאריך הישיבה: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8C2F11" w:rsidRDefault="00E01476">
            <w:pPr>
              <w:pStyle w:val="BodyRuller"/>
              <w:rPr>
                <w:rtl/>
              </w:rPr>
            </w:pPr>
            <w:r>
              <w:rPr>
                <w:sz w:val="24"/>
                <w:szCs w:val="24"/>
                <w:rtl/>
              </w:rPr>
              <w:t xml:space="preserve">כ"ז באדר </w:t>
            </w:r>
            <w:proofErr w:type="spellStart"/>
            <w:r>
              <w:rPr>
                <w:sz w:val="24"/>
                <w:szCs w:val="24"/>
                <w:rtl/>
              </w:rPr>
              <w:t>התשפ"ג</w:t>
            </w:r>
            <w:proofErr w:type="spellEnd"/>
            <w:r w:rsidR="008C2F11">
              <w:t xml:space="preserve">       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8C2F11" w:rsidRDefault="00E01476" w:rsidP="003E7295">
            <w:pPr>
              <w:pStyle w:val="BodyRuller"/>
              <w:rPr>
                <w:sz w:val="24"/>
                <w:szCs w:val="24"/>
                <w:rtl/>
              </w:rPr>
            </w:pPr>
            <w:r>
              <w:t>(20.</w:t>
            </w:r>
            <w:r w:rsidR="003E7295">
              <w:t>3</w:t>
            </w:r>
            <w:r>
              <w:t>.2023)</w:t>
            </w:r>
            <w:r w:rsidR="00200D6B">
              <w:t xml:space="preserve"> </w:t>
            </w:r>
          </w:p>
        </w:tc>
      </w:tr>
    </w:tbl>
    <w:p w:rsidR="00916FF8" w:rsidRPr="00BC7D7A" w:rsidRDefault="00916FF8" w:rsidP="00BC7D7A">
      <w:pPr>
        <w:spacing w:line="360" w:lineRule="auto"/>
        <w:jc w:val="right"/>
        <w:rPr>
          <w:rFonts w:cs="Miriam"/>
          <w:b/>
          <w:bCs/>
        </w:rPr>
      </w:pPr>
    </w:p>
    <w:tbl>
      <w:tblPr>
        <w:bidiVisual/>
        <w:tblW w:w="8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13"/>
        <w:gridCol w:w="5150"/>
      </w:tblGrid>
      <w:tr w:rsidR="00036227" w:rsidTr="00D00B1D"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</w:tcPr>
          <w:p w:rsidR="00036227" w:rsidRDefault="00E01476">
            <w:pPr>
              <w:pStyle w:val="BodyRuller"/>
            </w:pPr>
            <w:r>
              <w:rPr>
                <w:rtl/>
              </w:rPr>
              <w:t>בשם המערער:</w:t>
            </w:r>
          </w:p>
        </w:tc>
        <w:tc>
          <w:tcPr>
            <w:tcW w:w="5238" w:type="dxa"/>
            <w:tcBorders>
              <w:top w:val="nil"/>
              <w:left w:val="nil"/>
              <w:bottom w:val="nil"/>
              <w:right w:val="nil"/>
            </w:tcBorders>
          </w:tcPr>
          <w:p w:rsidR="00036227" w:rsidRDefault="003E7295" w:rsidP="003E7295">
            <w:pPr>
              <w:pStyle w:val="BodyRuller"/>
            </w:pPr>
            <w:r>
              <w:rPr>
                <w:rtl/>
              </w:rPr>
              <w:t xml:space="preserve">עו"ד </w:t>
            </w:r>
            <w:r>
              <w:rPr>
                <w:rFonts w:hint="cs"/>
                <w:rtl/>
              </w:rPr>
              <w:t xml:space="preserve">דוד </w:t>
            </w:r>
            <w:r>
              <w:rPr>
                <w:rtl/>
              </w:rPr>
              <w:t>שוב</w:t>
            </w:r>
            <w:r>
              <w:rPr>
                <w:rFonts w:hint="cs"/>
                <w:rtl/>
              </w:rPr>
              <w:t>; עו"ד אוריאל בוני</w:t>
            </w:r>
          </w:p>
        </w:tc>
      </w:tr>
    </w:tbl>
    <w:p w:rsidR="00916FF8" w:rsidRPr="00BC7D7A" w:rsidRDefault="00916FF8" w:rsidP="00BC7D7A">
      <w:pPr>
        <w:spacing w:line="360" w:lineRule="auto"/>
        <w:jc w:val="right"/>
        <w:rPr>
          <w:rFonts w:cs="Miriam"/>
          <w:b/>
          <w:bCs/>
        </w:rPr>
      </w:pPr>
    </w:p>
    <w:tbl>
      <w:tblPr>
        <w:bidiVisual/>
        <w:tblW w:w="8363" w:type="dxa"/>
        <w:tblInd w:w="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16"/>
        <w:gridCol w:w="5147"/>
      </w:tblGrid>
      <w:tr w:rsidR="00036227" w:rsidTr="003E7295"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036227" w:rsidRDefault="00E01476">
            <w:pPr>
              <w:pStyle w:val="BodyRuller"/>
            </w:pPr>
            <w:r>
              <w:rPr>
                <w:rtl/>
              </w:rPr>
              <w:t>בשם המשיבים:</w:t>
            </w:r>
          </w:p>
        </w:tc>
        <w:tc>
          <w:tcPr>
            <w:tcW w:w="5147" w:type="dxa"/>
            <w:tcBorders>
              <w:top w:val="nil"/>
              <w:left w:val="nil"/>
              <w:bottom w:val="nil"/>
              <w:right w:val="nil"/>
            </w:tcBorders>
          </w:tcPr>
          <w:p w:rsidR="00036227" w:rsidRDefault="003E7295">
            <w:pPr>
              <w:pStyle w:val="BodyRuller"/>
            </w:pPr>
            <w:r>
              <w:rPr>
                <w:rtl/>
              </w:rPr>
              <w:t xml:space="preserve">עו"ד </w:t>
            </w:r>
            <w:r>
              <w:rPr>
                <w:rFonts w:hint="cs"/>
                <w:rtl/>
              </w:rPr>
              <w:t>שמואל זינגר</w:t>
            </w:r>
          </w:p>
        </w:tc>
      </w:tr>
    </w:tbl>
    <w:p w:rsidR="00916FF8" w:rsidRPr="00BC7D7A" w:rsidRDefault="00916FF8" w:rsidP="00BC7D7A">
      <w:pPr>
        <w:spacing w:line="360" w:lineRule="auto"/>
        <w:jc w:val="right"/>
        <w:rPr>
          <w:rFonts w:cs="Miriam"/>
          <w:b/>
          <w:bCs/>
          <w:rtl/>
        </w:rPr>
      </w:pPr>
    </w:p>
    <w:tbl>
      <w:tblPr>
        <w:bidiVisual/>
        <w:tblW w:w="8363" w:type="dxa"/>
        <w:tblLook w:val="0000" w:firstRow="0" w:lastRow="0" w:firstColumn="0" w:lastColumn="0" w:noHBand="0" w:noVBand="0"/>
      </w:tblPr>
      <w:tblGrid>
        <w:gridCol w:w="8363"/>
      </w:tblGrid>
      <w:tr w:rsidR="00036227" w:rsidTr="00BC7D7A">
        <w:tc>
          <w:tcPr>
            <w:tcW w:w="8363" w:type="dxa"/>
          </w:tcPr>
          <w:p w:rsidR="00916FF8" w:rsidRDefault="00E01476">
            <w:pPr>
              <w:pStyle w:val="DocumentHead"/>
            </w:pPr>
            <w:bookmarkStart w:id="1" w:name="secretary"/>
            <w:bookmarkStart w:id="2" w:name="BeginProtocol"/>
            <w:bookmarkEnd w:id="1"/>
            <w:bookmarkEnd w:id="2"/>
            <w:r>
              <w:rPr>
                <w:rtl/>
              </w:rPr>
              <w:t>פסק-דין</w:t>
            </w:r>
          </w:p>
        </w:tc>
      </w:tr>
    </w:tbl>
    <w:p w:rsidR="0065522F" w:rsidRDefault="0065522F" w:rsidP="00646A8C">
      <w:pPr>
        <w:pStyle w:val="BODYVERDICT"/>
        <w:spacing w:line="360" w:lineRule="auto"/>
        <w:jc w:val="both"/>
        <w:rPr>
          <w:rFonts w:ascii="Century" w:hAnsi="Century"/>
          <w:rtl/>
        </w:rPr>
      </w:pPr>
    </w:p>
    <w:p w:rsidR="007F1B66" w:rsidRPr="007F1B66" w:rsidRDefault="007F1B66" w:rsidP="00E079EC">
      <w:pPr>
        <w:pStyle w:val="BODYVERDICT"/>
        <w:spacing w:line="360" w:lineRule="auto"/>
        <w:jc w:val="both"/>
        <w:rPr>
          <w:rFonts w:ascii="Century" w:hAnsi="Century" w:cs="Miriam"/>
          <w:b/>
          <w:spacing w:val="0"/>
          <w:szCs w:val="24"/>
          <w:rtl/>
        </w:rPr>
      </w:pPr>
      <w:r w:rsidRPr="007F1B66">
        <w:rPr>
          <w:rFonts w:ascii="Century" w:hAnsi="Century" w:cs="Miriam" w:hint="cs"/>
          <w:b/>
          <w:spacing w:val="0"/>
          <w:szCs w:val="24"/>
          <w:u w:val="single"/>
          <w:rtl/>
        </w:rPr>
        <w:t>המשנה לנשיאה ע' פוגלמן</w:t>
      </w:r>
      <w:r w:rsidRPr="007F1B66">
        <w:rPr>
          <w:rFonts w:ascii="Century" w:hAnsi="Century" w:cs="Miriam" w:hint="cs"/>
          <w:b/>
          <w:spacing w:val="0"/>
          <w:szCs w:val="24"/>
          <w:rtl/>
        </w:rPr>
        <w:t>:</w:t>
      </w:r>
    </w:p>
    <w:p w:rsidR="007F1B66" w:rsidRPr="003E7295" w:rsidRDefault="007F1B66" w:rsidP="00E079EC">
      <w:pPr>
        <w:pStyle w:val="BODYVERDICT"/>
        <w:spacing w:line="360" w:lineRule="auto"/>
        <w:jc w:val="both"/>
        <w:rPr>
          <w:rFonts w:ascii="Century" w:hAnsi="Century"/>
        </w:rPr>
      </w:pPr>
    </w:p>
    <w:p w:rsidR="003E7295" w:rsidRPr="00F92C1A" w:rsidRDefault="003E7295" w:rsidP="00E079EC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bookmarkStart w:id="3" w:name="Writer_Name"/>
      <w:bookmarkStart w:id="4" w:name="Start_Write"/>
      <w:bookmarkEnd w:id="3"/>
      <w:bookmarkEnd w:id="4"/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לבית המשפט </w:t>
      </w:r>
      <w:r w:rsidRPr="00F92C1A">
        <w:rPr>
          <w:rFonts w:ascii="Century" w:hAnsi="Century" w:cs="FrankRuehl" w:hint="cs"/>
          <w:spacing w:val="10"/>
          <w:sz w:val="22"/>
          <w:szCs w:val="28"/>
          <w:rtl/>
        </w:rPr>
        <w:t xml:space="preserve">לעניינים מינהליים בתל אביב-יפו הוגשה </w:t>
      </w:r>
      <w:r w:rsidRPr="00F92C1A">
        <w:rPr>
          <w:rFonts w:ascii="Century" w:hAnsi="Century" w:cs="FrankRuehl"/>
          <w:spacing w:val="10"/>
          <w:sz w:val="22"/>
          <w:szCs w:val="28"/>
          <w:rtl/>
        </w:rPr>
        <w:t>עתירה ב</w:t>
      </w:r>
      <w:r w:rsidRPr="00F92C1A">
        <w:rPr>
          <w:rFonts w:ascii="Century" w:hAnsi="Century" w:cs="FrankRuehl" w:hint="cs"/>
          <w:spacing w:val="10"/>
          <w:sz w:val="22"/>
          <w:szCs w:val="28"/>
          <w:rtl/>
        </w:rPr>
        <w:t xml:space="preserve">גדרה התבקש </w:t>
      </w:r>
      <w:r w:rsidRPr="00F92C1A">
        <w:rPr>
          <w:rFonts w:ascii="Century" w:hAnsi="Century" w:cs="FrankRuehl"/>
          <w:spacing w:val="10"/>
          <w:sz w:val="22"/>
          <w:szCs w:val="28"/>
          <w:rtl/>
        </w:rPr>
        <w:t>ב</w:t>
      </w:r>
      <w:r w:rsidRPr="00F92C1A">
        <w:rPr>
          <w:rFonts w:ascii="Century" w:hAnsi="Century" w:cs="FrankRuehl" w:hint="cs"/>
          <w:spacing w:val="10"/>
          <w:sz w:val="22"/>
          <w:szCs w:val="28"/>
          <w:rtl/>
        </w:rPr>
        <w:t>י</w:t>
      </w:r>
      <w:r w:rsidRPr="00F92C1A">
        <w:rPr>
          <w:rFonts w:ascii="Century" w:hAnsi="Century" w:cs="FrankRuehl"/>
          <w:spacing w:val="10"/>
          <w:sz w:val="22"/>
          <w:szCs w:val="28"/>
          <w:rtl/>
        </w:rPr>
        <w:t>ט</w:t>
      </w:r>
      <w:r w:rsidRPr="00F92C1A">
        <w:rPr>
          <w:rFonts w:ascii="Century" w:hAnsi="Century" w:cs="FrankRuehl" w:hint="cs"/>
          <w:spacing w:val="10"/>
          <w:sz w:val="22"/>
          <w:szCs w:val="28"/>
          <w:rtl/>
        </w:rPr>
        <w:t>ו</w:t>
      </w:r>
      <w:r w:rsidRPr="00F92C1A">
        <w:rPr>
          <w:rFonts w:ascii="Century" w:hAnsi="Century" w:cs="FrankRuehl"/>
          <w:spacing w:val="10"/>
          <w:sz w:val="22"/>
          <w:szCs w:val="28"/>
          <w:rtl/>
        </w:rPr>
        <w:t>ל החלטת המשיבה 2 (להלן</w:t>
      </w:r>
      <w:r w:rsidRPr="00F92C1A">
        <w:rPr>
          <w:rFonts w:ascii="Century" w:hAnsi="Century" w:cs="FrankRuehl" w:hint="cs"/>
          <w:spacing w:val="10"/>
          <w:sz w:val="22"/>
          <w:szCs w:val="28"/>
          <w:rtl/>
        </w:rPr>
        <w:t xml:space="preserve">: </w:t>
      </w:r>
      <w:r w:rsidRPr="00F92C1A">
        <w:rPr>
          <w:rFonts w:ascii="Century" w:hAnsi="Century" w:cs="Miriam"/>
          <w:b/>
          <w:sz w:val="22"/>
          <w:rtl/>
        </w:rPr>
        <w:t>העיריה</w:t>
      </w:r>
      <w:r w:rsidRPr="00F92C1A">
        <w:rPr>
          <w:rFonts w:ascii="Century" w:hAnsi="Century" w:cs="FrankRuehl"/>
          <w:spacing w:val="10"/>
          <w:sz w:val="22"/>
          <w:szCs w:val="28"/>
          <w:rtl/>
        </w:rPr>
        <w:t xml:space="preserve">) מיום </w:t>
      </w:r>
      <w:r w:rsidRPr="00F92C1A">
        <w:rPr>
          <w:rFonts w:ascii="Century" w:hAnsi="Century" w:cs="FrankRuehl" w:hint="cs"/>
          <w:spacing w:val="10"/>
          <w:sz w:val="22"/>
          <w:szCs w:val="28"/>
          <w:rtl/>
        </w:rPr>
        <w:t xml:space="preserve">25.10.2021 </w:t>
      </w:r>
      <w:r w:rsidRPr="00F92C1A">
        <w:rPr>
          <w:rFonts w:ascii="Century" w:hAnsi="Century" w:cs="FrankRuehl"/>
          <w:spacing w:val="10"/>
          <w:sz w:val="22"/>
          <w:szCs w:val="28"/>
          <w:rtl/>
        </w:rPr>
        <w:t>(להלן</w:t>
      </w:r>
      <w:r w:rsidRPr="00F92C1A">
        <w:rPr>
          <w:rFonts w:ascii="Century" w:hAnsi="Century" w:cs="FrankRuehl" w:hint="cs"/>
          <w:spacing w:val="10"/>
          <w:sz w:val="22"/>
          <w:szCs w:val="28"/>
          <w:rtl/>
        </w:rPr>
        <w:t xml:space="preserve">: </w:t>
      </w:r>
      <w:r w:rsidRPr="00F92C1A">
        <w:rPr>
          <w:rFonts w:ascii="Century" w:hAnsi="Century" w:cs="Miriam"/>
          <w:b/>
          <w:sz w:val="22"/>
          <w:rtl/>
        </w:rPr>
        <w:t>ההחלטה</w:t>
      </w:r>
      <w:r w:rsidRPr="00F92C1A">
        <w:rPr>
          <w:rFonts w:ascii="Century" w:hAnsi="Century" w:cs="FrankRuehl"/>
          <w:spacing w:val="10"/>
          <w:sz w:val="22"/>
          <w:szCs w:val="28"/>
          <w:rtl/>
        </w:rPr>
        <w:t>) שעניינה הגדלת המכסות המפורטות ב</w:t>
      </w:r>
      <w:bookmarkStart w:id="5" w:name="Seif13"/>
      <w:r w:rsidRPr="00F92C1A">
        <w:rPr>
          <w:rFonts w:ascii="Century" w:hAnsi="Century" w:cs="FrankRuehl"/>
          <w:spacing w:val="10"/>
          <w:sz w:val="22"/>
          <w:szCs w:val="28"/>
          <w:rtl/>
        </w:rPr>
        <w:t xml:space="preserve">פרט 2 </w:t>
      </w:r>
      <w:bookmarkEnd w:id="5"/>
      <w:r w:rsidRPr="00F92C1A">
        <w:rPr>
          <w:rFonts w:ascii="Century" w:hAnsi="Century" w:cs="FrankRuehl"/>
          <w:spacing w:val="10"/>
          <w:sz w:val="22"/>
          <w:szCs w:val="28"/>
          <w:rtl/>
        </w:rPr>
        <w:t>ל</w:t>
      </w:r>
      <w:bookmarkStart w:id="6" w:name="Seif9"/>
      <w:r w:rsidRPr="00F92C1A">
        <w:rPr>
          <w:rFonts w:ascii="Century" w:hAnsi="Century" w:cs="FrankRuehl"/>
          <w:spacing w:val="10"/>
          <w:sz w:val="22"/>
          <w:szCs w:val="28"/>
          <w:rtl/>
        </w:rPr>
        <w:t xml:space="preserve">תוספת </w:t>
      </w:r>
      <w:bookmarkEnd w:id="6"/>
      <w:r w:rsidR="00C235E1">
        <w:rPr>
          <w:rFonts w:ascii="Century" w:hAnsi="Century" w:cs="FrankRuehl"/>
          <w:spacing w:val="10"/>
          <w:sz w:val="22"/>
          <w:szCs w:val="28"/>
          <w:rtl/>
        </w:rPr>
        <w:t xml:space="preserve">הראשונה לחוק </w:t>
      </w:r>
      <w:r w:rsidRPr="00F92C1A">
        <w:rPr>
          <w:rFonts w:ascii="Century" w:hAnsi="Century" w:cs="FrankRuehl"/>
          <w:spacing w:val="10"/>
          <w:sz w:val="22"/>
          <w:szCs w:val="28"/>
          <w:rtl/>
        </w:rPr>
        <w:t>עזר לתל אביב-יפו (פתיחתן וסגירתן של חנויות) התש"ם-1980 (להלן</w:t>
      </w:r>
      <w:r w:rsidRPr="00F92C1A">
        <w:rPr>
          <w:rFonts w:ascii="Century" w:hAnsi="Century" w:cs="FrankRuehl" w:hint="cs"/>
          <w:spacing w:val="10"/>
          <w:sz w:val="22"/>
          <w:szCs w:val="28"/>
          <w:rtl/>
        </w:rPr>
        <w:t>:</w:t>
      </w:r>
      <w:r w:rsidRPr="00F92C1A">
        <w:rPr>
          <w:rFonts w:ascii="Century" w:hAnsi="Century" w:cs="FrankRuehl"/>
          <w:spacing w:val="10"/>
          <w:sz w:val="22"/>
          <w:szCs w:val="28"/>
          <w:rtl/>
        </w:rPr>
        <w:t xml:space="preserve"> </w:t>
      </w:r>
      <w:r w:rsidRPr="00F92C1A">
        <w:rPr>
          <w:rFonts w:ascii="Century" w:hAnsi="Century" w:cs="Miriam"/>
          <w:b/>
          <w:sz w:val="22"/>
          <w:rtl/>
        </w:rPr>
        <w:t>חוק העזר</w:t>
      </w:r>
      <w:r w:rsidRPr="00F92C1A">
        <w:rPr>
          <w:rFonts w:ascii="Century" w:hAnsi="Century" w:cs="FrankRuehl"/>
          <w:spacing w:val="10"/>
          <w:sz w:val="22"/>
          <w:szCs w:val="28"/>
          <w:rtl/>
        </w:rPr>
        <w:t>).</w:t>
      </w:r>
    </w:p>
    <w:p w:rsidR="003E7295" w:rsidRPr="00F92C1A" w:rsidRDefault="003E7295" w:rsidP="00E079EC">
      <w:pPr>
        <w:pStyle w:val="ae"/>
        <w:spacing w:line="360" w:lineRule="auto"/>
        <w:jc w:val="both"/>
        <w:rPr>
          <w:rFonts w:ascii="Century" w:hAnsi="Century" w:cs="FrankRuehl"/>
          <w:spacing w:val="10"/>
          <w:sz w:val="22"/>
          <w:szCs w:val="28"/>
        </w:rPr>
      </w:pPr>
      <w:bookmarkStart w:id="7" w:name="ABSTRACT_END"/>
      <w:bookmarkEnd w:id="7"/>
    </w:p>
    <w:p w:rsidR="003E7295" w:rsidRPr="003E7295" w:rsidRDefault="00F92C1A" w:rsidP="00E079EC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</w:rPr>
      </w:pPr>
      <w:r>
        <w:rPr>
          <w:rFonts w:ascii="Century" w:hAnsi="Century" w:cs="FrankRuehl" w:hint="cs"/>
          <w:spacing w:val="10"/>
          <w:sz w:val="22"/>
          <w:szCs w:val="28"/>
          <w:rtl/>
        </w:rPr>
        <w:t xml:space="preserve">ברקע הדברים יוזכר כי </w:t>
      </w:r>
      <w:r w:rsidR="003E7295" w:rsidRPr="00F92C1A">
        <w:rPr>
          <w:rFonts w:ascii="Century" w:hAnsi="Century" w:cs="FrankRuehl"/>
          <w:spacing w:val="10"/>
          <w:sz w:val="22"/>
          <w:szCs w:val="28"/>
          <w:rtl/>
        </w:rPr>
        <w:t>במסגרת</w:t>
      </w:r>
      <w:r w:rsidR="003E7295" w:rsidRPr="00F92C1A">
        <w:rPr>
          <w:rFonts w:ascii="Century" w:hAnsi="Century" w:cs="FrankRuehl" w:hint="cs"/>
          <w:spacing w:val="10"/>
          <w:sz w:val="22"/>
          <w:szCs w:val="28"/>
          <w:rtl/>
        </w:rPr>
        <w:t xml:space="preserve"> התיקון</w:t>
      </w:r>
      <w:r w:rsidR="0026749A" w:rsidRPr="00F92C1A">
        <w:rPr>
          <w:rFonts w:ascii="Century" w:hAnsi="Century" w:cs="FrankRuehl" w:hint="cs"/>
          <w:spacing w:val="10"/>
          <w:sz w:val="22"/>
          <w:szCs w:val="28"/>
          <w:rtl/>
        </w:rPr>
        <w:t xml:space="preserve"> לחוק העזר</w:t>
      </w:r>
      <w:r w:rsidR="003E7295" w:rsidRPr="00F92C1A">
        <w:rPr>
          <w:rFonts w:ascii="Century" w:hAnsi="Century" w:cs="FrankRuehl" w:hint="cs"/>
          <w:spacing w:val="10"/>
          <w:sz w:val="22"/>
          <w:szCs w:val="28"/>
          <w:rtl/>
        </w:rPr>
        <w:t xml:space="preserve"> </w:t>
      </w:r>
      <w:r w:rsidR="003E7295" w:rsidRPr="00F92C1A">
        <w:rPr>
          <w:rFonts w:ascii="Century" w:hAnsi="Century" w:cs="FrankRuehl"/>
          <w:spacing w:val="10"/>
          <w:sz w:val="22"/>
          <w:szCs w:val="28"/>
          <w:rtl/>
        </w:rPr>
        <w:t>נקבע</w:t>
      </w:r>
      <w:r w:rsidR="003E7295" w:rsidRPr="00F92C1A">
        <w:rPr>
          <w:rFonts w:ascii="Century" w:hAnsi="Century" w:cs="FrankRuehl" w:hint="cs"/>
          <w:spacing w:val="10"/>
          <w:sz w:val="22"/>
          <w:szCs w:val="28"/>
          <w:rtl/>
        </w:rPr>
        <w:t>ה</w:t>
      </w:r>
      <w:r w:rsidR="003E7295" w:rsidRPr="00F92C1A">
        <w:rPr>
          <w:rFonts w:ascii="Century" w:hAnsi="Century" w:cs="FrankRuehl"/>
          <w:spacing w:val="10"/>
          <w:sz w:val="22"/>
          <w:szCs w:val="28"/>
          <w:rtl/>
        </w:rPr>
        <w:t xml:space="preserve"> מכסה של 164 היתרים חריגים לפתיחת חנויות בשבת </w:t>
      </w:r>
      <w:r w:rsidR="003E7295" w:rsidRPr="00F92C1A">
        <w:rPr>
          <w:rFonts w:ascii="Century" w:hAnsi="Century" w:cs="FrankRuehl" w:hint="cs"/>
          <w:spacing w:val="10"/>
          <w:sz w:val="22"/>
          <w:szCs w:val="28"/>
          <w:rtl/>
        </w:rPr>
        <w:t>בתחומי העיר תל</w:t>
      </w:r>
      <w:r w:rsidR="003E7295"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אביב</w:t>
      </w:r>
      <w:r w:rsidR="00783C7E">
        <w:rPr>
          <w:rFonts w:ascii="Century" w:hAnsi="Century" w:cs="FrankRuehl" w:hint="cs"/>
          <w:spacing w:val="10"/>
          <w:sz w:val="22"/>
          <w:szCs w:val="28"/>
          <w:rtl/>
        </w:rPr>
        <w:t>-יפו</w:t>
      </w:r>
      <w:r w:rsidR="003E7295"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. </w:t>
      </w:r>
      <w:bookmarkStart w:id="8" w:name="Seif1"/>
      <w:r w:rsidR="003E7295"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מועצת העיריה אף הוסמכה בגדר </w:t>
      </w:r>
      <w:r w:rsidR="003E7295" w:rsidRPr="003E7295">
        <w:rPr>
          <w:rFonts w:ascii="Century" w:hAnsi="Century" w:cs="FrankRuehl"/>
          <w:spacing w:val="10"/>
          <w:sz w:val="22"/>
          <w:szCs w:val="28"/>
          <w:rtl/>
        </w:rPr>
        <w:t xml:space="preserve">סעיף </w:t>
      </w:r>
      <w:bookmarkEnd w:id="8"/>
      <w:r w:rsidR="003E7295" w:rsidRPr="003E7295">
        <w:rPr>
          <w:rFonts w:ascii="Century" w:hAnsi="Century" w:cs="FrankRuehl"/>
          <w:spacing w:val="10"/>
          <w:sz w:val="22"/>
          <w:szCs w:val="28"/>
          <w:rtl/>
        </w:rPr>
        <w:t>2(ט) לחוק העזר</w:t>
      </w:r>
      <w:r w:rsidR="003E7295"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המתוקן </w:t>
      </w:r>
      <w:r w:rsidR="00A93DC8">
        <w:rPr>
          <w:rFonts w:ascii="Century" w:hAnsi="Century" w:cs="FrankRuehl" w:hint="cs"/>
          <w:spacing w:val="10"/>
          <w:sz w:val="22"/>
          <w:szCs w:val="28"/>
          <w:rtl/>
        </w:rPr>
        <w:t>"</w:t>
      </w:r>
      <w:r w:rsidR="00881359">
        <w:rPr>
          <w:rFonts w:ascii="Century" w:hAnsi="Century" w:cs="Miriam"/>
          <w:b/>
          <w:sz w:val="22"/>
          <w:rtl/>
        </w:rPr>
        <w:t>להוסיף</w:t>
      </w:r>
      <w:r w:rsidR="003E7295" w:rsidRPr="008A1A51">
        <w:rPr>
          <w:rFonts w:ascii="Century" w:hAnsi="Century" w:cs="Miriam"/>
          <w:b/>
          <w:sz w:val="22"/>
          <w:rtl/>
        </w:rPr>
        <w:t xml:space="preserve"> או לגרוע מ</w:t>
      </w:r>
      <w:bookmarkStart w:id="9" w:name="Seif16"/>
      <w:r w:rsidR="003E7295" w:rsidRPr="008A1A51">
        <w:rPr>
          <w:rFonts w:ascii="Century" w:hAnsi="Century" w:cs="Miriam"/>
          <w:b/>
          <w:sz w:val="22"/>
          <w:rtl/>
        </w:rPr>
        <w:t xml:space="preserve">פרטים </w:t>
      </w:r>
      <w:bookmarkEnd w:id="9"/>
      <w:r w:rsidR="003E7295" w:rsidRPr="008A1A51">
        <w:rPr>
          <w:rFonts w:ascii="Century" w:hAnsi="Century" w:cs="Miriam"/>
          <w:b/>
          <w:sz w:val="22"/>
          <w:rtl/>
        </w:rPr>
        <w:t>2 עד 4 שב</w:t>
      </w:r>
      <w:bookmarkStart w:id="10" w:name="Seif10"/>
      <w:r w:rsidR="003E7295" w:rsidRPr="008A1A51">
        <w:rPr>
          <w:rFonts w:ascii="Century" w:hAnsi="Century" w:cs="Miriam"/>
          <w:b/>
          <w:sz w:val="22"/>
          <w:rtl/>
        </w:rPr>
        <w:t xml:space="preserve">תוספת </w:t>
      </w:r>
      <w:bookmarkEnd w:id="10"/>
      <w:r w:rsidR="003E7295" w:rsidRPr="008A1A51">
        <w:rPr>
          <w:rFonts w:ascii="Century" w:hAnsi="Century" w:cs="Miriam"/>
          <w:b/>
          <w:sz w:val="22"/>
          <w:rtl/>
        </w:rPr>
        <w:lastRenderedPageBreak/>
        <w:t>הראשונה לפי הצעת ראש העירי</w:t>
      </w:r>
      <w:r w:rsidR="008A1A51" w:rsidRPr="008A1A51">
        <w:rPr>
          <w:rFonts w:ascii="Century" w:hAnsi="Century" w:cs="Miriam" w:hint="cs"/>
          <w:b/>
          <w:sz w:val="22"/>
          <w:rtl/>
        </w:rPr>
        <w:t>י</w:t>
      </w:r>
      <w:r w:rsidR="003E7295" w:rsidRPr="008A1A51">
        <w:rPr>
          <w:rFonts w:ascii="Century" w:hAnsi="Century" w:cs="Miriam"/>
          <w:b/>
          <w:sz w:val="22"/>
          <w:rtl/>
        </w:rPr>
        <w:t>ה אשר תתבסס על שינוי הנוגע לעניין</w:t>
      </w:r>
      <w:r w:rsidR="003E7295" w:rsidRPr="003E7295">
        <w:rPr>
          <w:rFonts w:ascii="Century" w:hAnsi="Century" w:cs="FrankRuehl"/>
          <w:spacing w:val="10"/>
          <w:sz w:val="22"/>
          <w:szCs w:val="28"/>
          <w:rtl/>
        </w:rPr>
        <w:t>"</w:t>
      </w:r>
      <w:r w:rsidR="008A1A51">
        <w:rPr>
          <w:rFonts w:ascii="Century" w:hAnsi="Century" w:cs="FrankRuehl" w:hint="cs"/>
          <w:spacing w:val="10"/>
          <w:sz w:val="22"/>
          <w:szCs w:val="28"/>
          <w:rtl/>
        </w:rPr>
        <w:t xml:space="preserve"> (</w:t>
      </w:r>
      <w:r w:rsidR="00304DB9">
        <w:rPr>
          <w:rFonts w:ascii="Century" w:hAnsi="Century" w:cs="FrankRuehl" w:hint="cs"/>
          <w:spacing w:val="10"/>
          <w:sz w:val="22"/>
          <w:szCs w:val="28"/>
          <w:rtl/>
        </w:rPr>
        <w:t>ה</w:t>
      </w:r>
      <w:r w:rsidR="00646A8C">
        <w:rPr>
          <w:rFonts w:ascii="Century" w:hAnsi="Century" w:cs="FrankRuehl" w:hint="cs"/>
          <w:spacing w:val="10"/>
          <w:sz w:val="22"/>
          <w:szCs w:val="28"/>
          <w:rtl/>
        </w:rPr>
        <w:t>הדגשה ה</w:t>
      </w:r>
      <w:r w:rsidR="008A1A51">
        <w:rPr>
          <w:rFonts w:ascii="Century" w:hAnsi="Century" w:cs="FrankRuehl" w:hint="cs"/>
          <w:spacing w:val="10"/>
          <w:sz w:val="22"/>
          <w:szCs w:val="28"/>
          <w:rtl/>
        </w:rPr>
        <w:t xml:space="preserve">וספה </w:t>
      </w:r>
      <w:r w:rsidR="008A1A51">
        <w:rPr>
          <w:rFonts w:ascii="Century" w:hAnsi="Century" w:cs="FrankRuehl"/>
          <w:spacing w:val="10"/>
          <w:sz w:val="22"/>
          <w:szCs w:val="28"/>
          <w:rtl/>
        </w:rPr>
        <w:t>–</w:t>
      </w:r>
      <w:r w:rsidR="008A1A51">
        <w:rPr>
          <w:rFonts w:ascii="Century" w:hAnsi="Century" w:cs="FrankRuehl" w:hint="cs"/>
          <w:spacing w:val="10"/>
          <w:sz w:val="22"/>
          <w:szCs w:val="28"/>
          <w:rtl/>
        </w:rPr>
        <w:t xml:space="preserve"> ע' פ')</w:t>
      </w:r>
      <w:r w:rsidR="003E7295" w:rsidRPr="003E7295">
        <w:rPr>
          <w:rFonts w:ascii="Century" w:hAnsi="Century" w:cs="FrankRuehl"/>
          <w:spacing w:val="10"/>
          <w:sz w:val="22"/>
          <w:szCs w:val="28"/>
          <w:rtl/>
        </w:rPr>
        <w:t xml:space="preserve">. </w:t>
      </w:r>
    </w:p>
    <w:p w:rsidR="003E7295" w:rsidRPr="003E7295" w:rsidRDefault="003E7295" w:rsidP="00E079EC">
      <w:pPr>
        <w:pStyle w:val="ae"/>
        <w:spacing w:line="360" w:lineRule="auto"/>
        <w:jc w:val="both"/>
        <w:rPr>
          <w:rFonts w:ascii="Century" w:hAnsi="Century" w:cs="FrankRuehl"/>
          <w:spacing w:val="10"/>
          <w:sz w:val="22"/>
          <w:szCs w:val="28"/>
        </w:rPr>
      </w:pPr>
    </w:p>
    <w:p w:rsidR="00A93DC8" w:rsidRDefault="003E7295" w:rsidP="00A000D1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לצורך קביעת המכסות לפי חוק העזר 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נקבעו ק</w:t>
      </w:r>
      <w:r w:rsidR="00E079EC">
        <w:rPr>
          <w:rFonts w:ascii="Century" w:hAnsi="Century" w:cs="FrankRuehl" w:hint="cs"/>
          <w:spacing w:val="10"/>
          <w:sz w:val="22"/>
          <w:szCs w:val="28"/>
          <w:rtl/>
        </w:rPr>
        <w:t>ו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וים מנחים </w:t>
      </w:r>
      <w:r w:rsidR="00C03E92">
        <w:rPr>
          <w:rFonts w:ascii="Century" w:hAnsi="Century" w:cs="FrankRuehl" w:hint="cs"/>
          <w:spacing w:val="10"/>
          <w:sz w:val="22"/>
          <w:szCs w:val="28"/>
          <w:rtl/>
        </w:rPr>
        <w:t>ש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מבוססים על עבודת מחקר ובחינה שנערכה </w:t>
      </w:r>
      <w:r w:rsidR="00A93DC8">
        <w:rPr>
          <w:rFonts w:ascii="Century" w:hAnsi="Century" w:cs="FrankRuehl" w:hint="cs"/>
          <w:spacing w:val="10"/>
          <w:sz w:val="22"/>
          <w:szCs w:val="28"/>
          <w:rtl/>
        </w:rPr>
        <w:t>על ידי גורמי העיר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יה</w:t>
      </w:r>
      <w:r w:rsidR="007F1B66">
        <w:rPr>
          <w:rFonts w:ascii="Century" w:hAnsi="Century" w:cs="FrankRuehl" w:hint="cs"/>
          <w:spacing w:val="10"/>
          <w:sz w:val="22"/>
          <w:szCs w:val="28"/>
          <w:rtl/>
        </w:rPr>
        <w:t xml:space="preserve"> (להלן: </w:t>
      </w:r>
      <w:r w:rsidR="007F1B66" w:rsidRPr="004915E2">
        <w:rPr>
          <w:rFonts w:ascii="Century" w:hAnsi="Century" w:cs="Miriam" w:hint="cs"/>
          <w:b/>
          <w:sz w:val="22"/>
          <w:rtl/>
        </w:rPr>
        <w:t>הקווים המנחים</w:t>
      </w:r>
      <w:r w:rsidR="007F1B66" w:rsidRPr="007F1B66">
        <w:rPr>
          <w:rFonts w:ascii="Century" w:hAnsi="Century" w:cs="FrankRuehl" w:hint="cs"/>
          <w:spacing w:val="10"/>
          <w:sz w:val="22"/>
          <w:szCs w:val="28"/>
          <w:rtl/>
        </w:rPr>
        <w:t>)</w:t>
      </w:r>
      <w:r w:rsidR="00A000D1">
        <w:rPr>
          <w:rFonts w:ascii="Century" w:hAnsi="Century" w:cs="FrankRuehl" w:hint="cs"/>
          <w:spacing w:val="10"/>
          <w:sz w:val="22"/>
          <w:szCs w:val="28"/>
          <w:rtl/>
        </w:rPr>
        <w:t xml:space="preserve">. הקווים המנחים 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מפרטים את העקרונות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ששימשו כבסיס לנוסחה</w:t>
      </w:r>
      <w:r w:rsidR="007F1B66">
        <w:rPr>
          <w:rFonts w:ascii="Century" w:hAnsi="Century" w:cs="FrankRuehl" w:hint="cs"/>
          <w:spacing w:val="10"/>
          <w:sz w:val="22"/>
          <w:szCs w:val="28"/>
          <w:rtl/>
        </w:rPr>
        <w:t xml:space="preserve"> שהביאה לנתון הכולל של 164 היתרים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.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</w:t>
      </w:r>
    </w:p>
    <w:p w:rsidR="00A93DC8" w:rsidRDefault="00A93DC8" w:rsidP="00E079EC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E079EC" w:rsidRDefault="003E7295" w:rsidP="00E079EC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עתירות </w:t>
      </w:r>
      <w:r w:rsidR="00A93DC8">
        <w:rPr>
          <w:rFonts w:ascii="Century" w:hAnsi="Century" w:cs="FrankRuehl" w:hint="cs"/>
          <w:spacing w:val="10"/>
          <w:sz w:val="22"/>
          <w:szCs w:val="28"/>
          <w:rtl/>
        </w:rPr>
        <w:t>שהוגשו לבית משפט זה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</w:t>
      </w:r>
      <w:r w:rsidR="00A93DC8">
        <w:rPr>
          <w:rFonts w:ascii="Century" w:hAnsi="Century" w:cs="FrankRuehl" w:hint="cs"/>
          <w:spacing w:val="10"/>
          <w:sz w:val="22"/>
          <w:szCs w:val="28"/>
          <w:rtl/>
        </w:rPr>
        <w:t xml:space="preserve">בשבתו כבג"ץ 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נגד התיקונים של חוק העזר נדחו</w:t>
      </w:r>
      <w:r w:rsidR="00E079EC">
        <w:rPr>
          <w:rFonts w:ascii="Century" w:hAnsi="Century" w:cs="FrankRuehl" w:hint="cs"/>
          <w:spacing w:val="10"/>
          <w:sz w:val="22"/>
          <w:szCs w:val="28"/>
          <w:rtl/>
        </w:rPr>
        <w:t>,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ואף 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>נדחתה הבקשה לדיון נוסף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בעתירות </w:t>
      </w:r>
      <w:r w:rsidR="00A93DC8">
        <w:rPr>
          <w:rFonts w:ascii="Century" w:hAnsi="Century" w:cs="FrankRuehl" w:hint="cs"/>
          <w:spacing w:val="10"/>
          <w:sz w:val="22"/>
          <w:szCs w:val="28"/>
          <w:rtl/>
        </w:rPr>
        <w:t>(</w:t>
      </w:r>
      <w:proofErr w:type="spellStart"/>
      <w:r w:rsidRPr="003E7295">
        <w:rPr>
          <w:rFonts w:ascii="Century" w:hAnsi="Century" w:cs="FrankRuehl"/>
          <w:spacing w:val="10"/>
          <w:sz w:val="22"/>
          <w:szCs w:val="28"/>
          <w:rtl/>
        </w:rPr>
        <w:fldChar w:fldCharType="begin"/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instrText xml:space="preserve"> </w:instrText>
      </w:r>
      <w:r w:rsidRPr="003E7295">
        <w:rPr>
          <w:rFonts w:ascii="Century" w:hAnsi="Century" w:cs="FrankRuehl"/>
          <w:spacing w:val="10"/>
          <w:sz w:val="22"/>
          <w:szCs w:val="28"/>
        </w:rPr>
        <w:instrText xml:space="preserve">HYPERLINK </w:instrTex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instrText>"</w:instrText>
      </w:r>
      <w:r w:rsidRPr="003E7295">
        <w:rPr>
          <w:rFonts w:ascii="Century" w:hAnsi="Century" w:cs="FrankRuehl"/>
          <w:spacing w:val="10"/>
          <w:sz w:val="22"/>
          <w:szCs w:val="28"/>
        </w:rPr>
        <w:instrText>http://www.nevo.co.il/case/22584850"</w:instrTex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instrText xml:space="preserve"> </w:instrTex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fldChar w:fldCharType="separate"/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>דנג"ץ</w:t>
      </w:r>
      <w:proofErr w:type="spellEnd"/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3660/17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fldChar w:fldCharType="end"/>
      </w:r>
      <w:r w:rsidR="00A93DC8">
        <w:rPr>
          <w:rFonts w:ascii="Century" w:hAnsi="Century" w:cs="FrankRuehl" w:hint="cs"/>
          <w:spacing w:val="10"/>
          <w:sz w:val="22"/>
          <w:szCs w:val="28"/>
          <w:rtl/>
        </w:rPr>
        <w:t xml:space="preserve"> </w:t>
      </w:r>
      <w:r w:rsidR="00A93DC8" w:rsidRPr="00A93DC8">
        <w:rPr>
          <w:rFonts w:ascii="Century" w:hAnsi="Century" w:cs="Miriam"/>
          <w:b/>
          <w:sz w:val="22"/>
          <w:rtl/>
        </w:rPr>
        <w:t>הת</w:t>
      </w:r>
      <w:r w:rsidR="00A93DC8">
        <w:rPr>
          <w:rFonts w:ascii="Century" w:hAnsi="Century" w:cs="Miriam"/>
          <w:b/>
          <w:sz w:val="22"/>
          <w:rtl/>
        </w:rPr>
        <w:t>אחדות הסוחרים והעצמאים הכללית נ</w:t>
      </w:r>
      <w:r w:rsidR="00A93DC8">
        <w:rPr>
          <w:rFonts w:ascii="Century" w:hAnsi="Century" w:cs="Miriam" w:hint="cs"/>
          <w:b/>
          <w:sz w:val="22"/>
          <w:rtl/>
        </w:rPr>
        <w:t>'</w:t>
      </w:r>
      <w:r w:rsidR="00A93DC8" w:rsidRPr="00A93DC8">
        <w:rPr>
          <w:rFonts w:ascii="Century" w:hAnsi="Century" w:cs="Miriam"/>
          <w:b/>
          <w:sz w:val="22"/>
          <w:rtl/>
        </w:rPr>
        <w:t xml:space="preserve"> שר הפנים</w:t>
      </w:r>
      <w:r w:rsidR="00A93DC8">
        <w:rPr>
          <w:rFonts w:ascii="Century" w:hAnsi="Century" w:cs="FrankRuehl" w:hint="cs"/>
          <w:spacing w:val="10"/>
          <w:sz w:val="22"/>
          <w:szCs w:val="28"/>
          <w:rtl/>
        </w:rPr>
        <w:t xml:space="preserve"> (26.10.2017)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.</w:t>
      </w:r>
      <w:r w:rsidRPr="003E7295">
        <w:rPr>
          <w:rFonts w:ascii="Century" w:hAnsi="Century" w:cs="FrankRuehl"/>
          <w:spacing w:val="10"/>
          <w:sz w:val="22"/>
          <w:szCs w:val="28"/>
        </w:rPr>
        <w:t xml:space="preserve"> </w:t>
      </w:r>
    </w:p>
    <w:p w:rsidR="00E079EC" w:rsidRDefault="00E079EC" w:rsidP="00E079EC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FF575A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FF575A">
        <w:rPr>
          <w:rFonts w:ascii="Century" w:hAnsi="Century" w:cs="FrankRuehl"/>
          <w:spacing w:val="10"/>
          <w:sz w:val="22"/>
          <w:szCs w:val="28"/>
          <w:rtl/>
        </w:rPr>
        <w:t xml:space="preserve">ביום </w:t>
      </w:r>
      <w:r w:rsidR="00E079EC" w:rsidRPr="00FF575A">
        <w:rPr>
          <w:rFonts w:ascii="Century" w:hAnsi="Century" w:cs="FrankRuehl" w:hint="cs"/>
          <w:spacing w:val="10"/>
          <w:sz w:val="22"/>
          <w:szCs w:val="28"/>
          <w:rtl/>
        </w:rPr>
        <w:t xml:space="preserve">2.8.2021 </w:t>
      </w:r>
      <w:r w:rsidRPr="00FF575A">
        <w:rPr>
          <w:rFonts w:ascii="Century" w:hAnsi="Century" w:cs="FrankRuehl"/>
          <w:spacing w:val="10"/>
          <w:sz w:val="22"/>
          <w:szCs w:val="28"/>
          <w:rtl/>
        </w:rPr>
        <w:t>קיימה העיריה ישיבת הנהלה</w:t>
      </w:r>
      <w:r w:rsidR="00E079EC" w:rsidRPr="00FF575A">
        <w:rPr>
          <w:rFonts w:ascii="Century" w:hAnsi="Century" w:cs="FrankRuehl"/>
          <w:spacing w:val="10"/>
          <w:sz w:val="22"/>
          <w:szCs w:val="28"/>
          <w:rtl/>
        </w:rPr>
        <w:t xml:space="preserve"> (להלן</w:t>
      </w:r>
      <w:r w:rsidR="00E079EC" w:rsidRPr="00FF575A">
        <w:rPr>
          <w:rFonts w:ascii="Century" w:hAnsi="Century" w:cs="FrankRuehl" w:hint="cs"/>
          <w:spacing w:val="10"/>
          <w:sz w:val="22"/>
          <w:szCs w:val="28"/>
          <w:rtl/>
        </w:rPr>
        <w:t xml:space="preserve">: </w:t>
      </w:r>
      <w:r w:rsidRPr="00FF575A">
        <w:rPr>
          <w:rFonts w:ascii="Century" w:hAnsi="Century" w:cs="Miriam"/>
          <w:b/>
          <w:sz w:val="22"/>
          <w:rtl/>
        </w:rPr>
        <w:t>ישיבת ההנהלה</w:t>
      </w:r>
      <w:r w:rsidR="00E079EC" w:rsidRPr="00FF575A">
        <w:rPr>
          <w:rFonts w:ascii="Century" w:hAnsi="Century" w:cs="FrankRuehl"/>
          <w:spacing w:val="10"/>
          <w:sz w:val="22"/>
          <w:szCs w:val="28"/>
          <w:rtl/>
        </w:rPr>
        <w:t>) בה הציע המשיב 1 (להלן</w:t>
      </w:r>
      <w:r w:rsidR="00E079EC" w:rsidRPr="00FF575A">
        <w:rPr>
          <w:rFonts w:ascii="Century" w:hAnsi="Century" w:cs="FrankRuehl" w:hint="cs"/>
          <w:spacing w:val="10"/>
          <w:sz w:val="22"/>
          <w:szCs w:val="28"/>
          <w:rtl/>
        </w:rPr>
        <w:t xml:space="preserve">: </w:t>
      </w:r>
      <w:r w:rsidRPr="00FF575A">
        <w:rPr>
          <w:rFonts w:ascii="Century" w:hAnsi="Century" w:cs="Miriam"/>
          <w:b/>
          <w:sz w:val="22"/>
          <w:rtl/>
        </w:rPr>
        <w:t>ראש העיר</w:t>
      </w:r>
      <w:r w:rsidRPr="00FF575A">
        <w:rPr>
          <w:rFonts w:ascii="Century" w:hAnsi="Century" w:cs="FrankRuehl"/>
          <w:spacing w:val="10"/>
          <w:sz w:val="22"/>
          <w:szCs w:val="28"/>
          <w:rtl/>
        </w:rPr>
        <w:t xml:space="preserve">) לעדכן את </w:t>
      </w:r>
      <w:bookmarkStart w:id="11" w:name="Seif14"/>
      <w:r w:rsidRPr="00FF575A">
        <w:rPr>
          <w:rFonts w:ascii="Century" w:hAnsi="Century" w:cs="FrankRuehl"/>
          <w:spacing w:val="10"/>
          <w:sz w:val="22"/>
          <w:szCs w:val="28"/>
          <w:rtl/>
        </w:rPr>
        <w:t xml:space="preserve">פרט 2 </w:t>
      </w:r>
      <w:bookmarkEnd w:id="11"/>
      <w:r w:rsidRPr="00FF575A">
        <w:rPr>
          <w:rFonts w:ascii="Century" w:hAnsi="Century" w:cs="FrankRuehl"/>
          <w:spacing w:val="10"/>
          <w:sz w:val="22"/>
          <w:szCs w:val="28"/>
          <w:rtl/>
        </w:rPr>
        <w:t>ל</w:t>
      </w:r>
      <w:bookmarkStart w:id="12" w:name="Seif11"/>
      <w:r w:rsidRPr="00FF575A">
        <w:rPr>
          <w:rFonts w:ascii="Century" w:hAnsi="Century" w:cs="FrankRuehl"/>
          <w:spacing w:val="10"/>
          <w:sz w:val="22"/>
          <w:szCs w:val="28"/>
          <w:rtl/>
        </w:rPr>
        <w:t xml:space="preserve">תוספת </w:t>
      </w:r>
      <w:bookmarkEnd w:id="12"/>
      <w:r w:rsidRPr="00FF575A">
        <w:rPr>
          <w:rFonts w:ascii="Century" w:hAnsi="Century" w:cs="FrankRuehl"/>
          <w:spacing w:val="10"/>
          <w:sz w:val="22"/>
          <w:szCs w:val="28"/>
          <w:rtl/>
        </w:rPr>
        <w:t>הראשונה לחוק העזר ולאשר את הגדלת מכסות ההיתרים החריגים לפתיחת עסק בשבת מ-164 היתרים ל-273 היתרים</w:t>
      </w:r>
      <w:r w:rsidRPr="00FF575A">
        <w:rPr>
          <w:rFonts w:ascii="Century" w:hAnsi="Century" w:cs="FrankRuehl" w:hint="cs"/>
          <w:spacing w:val="10"/>
          <w:sz w:val="22"/>
          <w:szCs w:val="28"/>
          <w:rtl/>
        </w:rPr>
        <w:t>. ההצעה הובאה לדיון ואושרה על ידי מועצת העיריה ביום</w:t>
      </w:r>
      <w:r w:rsidR="00E079EC" w:rsidRPr="00FF575A">
        <w:rPr>
          <w:rFonts w:ascii="Century" w:hAnsi="Century" w:cs="FrankRuehl" w:hint="cs"/>
          <w:spacing w:val="10"/>
          <w:sz w:val="22"/>
          <w:szCs w:val="28"/>
          <w:rtl/>
        </w:rPr>
        <w:t xml:space="preserve"> 25.10.2021. </w:t>
      </w:r>
      <w:r w:rsidR="00FF575A" w:rsidRPr="00FF575A">
        <w:rPr>
          <w:rFonts w:ascii="Century" w:hAnsi="Century" w:cs="FrankRuehl" w:hint="cs"/>
          <w:spacing w:val="10"/>
          <w:sz w:val="22"/>
          <w:szCs w:val="28"/>
          <w:rtl/>
        </w:rPr>
        <w:t>העתירה תקפה את חוקיותה של ההחלטה האמורה</w:t>
      </w:r>
      <w:r w:rsidRPr="00FF575A">
        <w:rPr>
          <w:rFonts w:ascii="Century" w:hAnsi="Century" w:cs="FrankRuehl" w:hint="cs"/>
          <w:spacing w:val="10"/>
          <w:sz w:val="22"/>
          <w:szCs w:val="28"/>
          <w:rtl/>
        </w:rPr>
        <w:t>.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</w:t>
      </w:r>
    </w:p>
    <w:p w:rsidR="003E7295" w:rsidRPr="003E7295" w:rsidRDefault="003E7295" w:rsidP="00E079EC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DA6EC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העותר טען </w:t>
      </w:r>
      <w:r w:rsidR="00DA6ECF">
        <w:rPr>
          <w:rFonts w:ascii="Century" w:hAnsi="Century" w:cs="FrankRuehl" w:hint="cs"/>
          <w:spacing w:val="10"/>
          <w:sz w:val="22"/>
          <w:szCs w:val="28"/>
          <w:rtl/>
        </w:rPr>
        <w:t xml:space="preserve">כי 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ההחלטה נגועה בשיקולים זרים</w:t>
      </w:r>
      <w:r w:rsidR="00DA6ECF">
        <w:rPr>
          <w:rFonts w:ascii="Century" w:hAnsi="Century" w:cs="FrankRuehl" w:hint="cs"/>
          <w:spacing w:val="10"/>
          <w:sz w:val="22"/>
          <w:szCs w:val="28"/>
          <w:rtl/>
        </w:rPr>
        <w:t>,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בחוסר סבירות קיצונית ונעדרת תשתית עובדתית מספקת. את טענותיו סמך העותר, בין היתר, </w:t>
      </w:r>
      <w:r w:rsidR="00DA6ECF">
        <w:rPr>
          <w:rFonts w:ascii="Century" w:hAnsi="Century" w:cs="FrankRuehl" w:hint="cs"/>
          <w:spacing w:val="10"/>
          <w:sz w:val="22"/>
          <w:szCs w:val="28"/>
          <w:rtl/>
        </w:rPr>
        <w:t xml:space="preserve">גם 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על דברים שאמר ראש העיר בישיבת ההנהלה.</w:t>
      </w:r>
    </w:p>
    <w:p w:rsidR="003E7295" w:rsidRPr="003E7295" w:rsidRDefault="003E7295" w:rsidP="00E079EC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D215F5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</w:rPr>
      </w:pP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המשיבים </w:t>
      </w:r>
      <w:proofErr w:type="spellStart"/>
      <w:r w:rsidR="00E079EC">
        <w:rPr>
          <w:rFonts w:ascii="Century" w:hAnsi="Century" w:cs="FrankRuehl" w:hint="cs"/>
          <w:spacing w:val="10"/>
          <w:sz w:val="22"/>
          <w:szCs w:val="28"/>
          <w:rtl/>
        </w:rPr>
        <w:t>מצידם</w:t>
      </w:r>
      <w:proofErr w:type="spellEnd"/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טענו כי הפעלת הסמכות הי</w:t>
      </w:r>
      <w:r w:rsidR="00E079EC">
        <w:rPr>
          <w:rFonts w:ascii="Century" w:hAnsi="Century" w:cs="FrankRuehl" w:hint="cs"/>
          <w:spacing w:val="10"/>
          <w:sz w:val="22"/>
          <w:szCs w:val="28"/>
          <w:rtl/>
        </w:rPr>
        <w:t>י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תה פועל יוצא של פסק דינו של בית המשפט לעניינים </w:t>
      </w:r>
      <w:proofErr w:type="spellStart"/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מינהליים</w:t>
      </w:r>
      <w:proofErr w:type="spellEnd"/>
      <w:r w:rsidR="00E079EC">
        <w:rPr>
          <w:rFonts w:ascii="Century" w:hAnsi="Century" w:cs="FrankRuehl" w:hint="cs"/>
          <w:spacing w:val="10"/>
          <w:sz w:val="22"/>
          <w:szCs w:val="28"/>
          <w:rtl/>
        </w:rPr>
        <w:t xml:space="preserve"> </w:t>
      </w:r>
      <w:proofErr w:type="spellStart"/>
      <w:r w:rsidRPr="003E7295">
        <w:rPr>
          <w:rFonts w:ascii="Century" w:hAnsi="Century" w:cs="FrankRuehl"/>
          <w:spacing w:val="10"/>
          <w:sz w:val="22"/>
          <w:szCs w:val="28"/>
          <w:rtl/>
        </w:rPr>
        <w:t>ב</w:t>
      </w:r>
      <w:r w:rsidR="00E079EC">
        <w:rPr>
          <w:rFonts w:ascii="Century" w:hAnsi="Century" w:cs="FrankRuehl" w:hint="cs"/>
          <w:spacing w:val="10"/>
          <w:sz w:val="22"/>
          <w:szCs w:val="28"/>
          <w:rtl/>
        </w:rPr>
        <w:t>עת"ם</w:t>
      </w:r>
      <w:proofErr w:type="spellEnd"/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(</w:t>
      </w:r>
      <w:proofErr w:type="spellStart"/>
      <w:r w:rsidR="00E079EC">
        <w:rPr>
          <w:rFonts w:ascii="Century" w:hAnsi="Century" w:cs="FrankRuehl" w:hint="cs"/>
          <w:spacing w:val="10"/>
          <w:sz w:val="22"/>
          <w:szCs w:val="28"/>
          <w:rtl/>
        </w:rPr>
        <w:t>מינהליים</w:t>
      </w:r>
      <w:proofErr w:type="spellEnd"/>
      <w:r w:rsidR="00E079EC">
        <w:rPr>
          <w:rFonts w:ascii="Century" w:hAnsi="Century" w:cs="FrankRuehl" w:hint="cs"/>
          <w:spacing w:val="10"/>
          <w:sz w:val="22"/>
          <w:szCs w:val="28"/>
          <w:rtl/>
        </w:rPr>
        <w:t xml:space="preserve"> 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ת"א) 74079-01-19 </w:t>
      </w:r>
      <w:r w:rsidR="00E079EC" w:rsidRPr="00E079EC">
        <w:rPr>
          <w:rFonts w:ascii="Century" w:hAnsi="Century" w:cs="Miriam" w:hint="cs"/>
          <w:b/>
          <w:sz w:val="22"/>
          <w:rtl/>
        </w:rPr>
        <w:t>טיב טעם רשתות בע"מ נ' עיריית תל אביב-יפו</w:t>
      </w:r>
      <w:r w:rsidR="00E079EC" w:rsidRPr="00E079EC">
        <w:rPr>
          <w:rFonts w:ascii="Century" w:hAnsi="Century" w:cs="FrankRuehl" w:hint="cs"/>
          <w:spacing w:val="10"/>
          <w:sz w:val="22"/>
          <w:szCs w:val="28"/>
          <w:rtl/>
        </w:rPr>
        <w:t xml:space="preserve"> </w:t>
      </w:r>
      <w:r w:rsidR="00E079EC">
        <w:rPr>
          <w:rFonts w:ascii="Century" w:hAnsi="Century" w:cs="FrankRuehl" w:hint="cs"/>
          <w:spacing w:val="10"/>
          <w:sz w:val="22"/>
          <w:szCs w:val="28"/>
          <w:rtl/>
        </w:rPr>
        <w:t xml:space="preserve">(2.8.2019) </w:t>
      </w:r>
      <w:r w:rsidR="00E079EC">
        <w:rPr>
          <w:rFonts w:ascii="Century" w:hAnsi="Century" w:cs="FrankRuehl"/>
          <w:spacing w:val="10"/>
          <w:sz w:val="22"/>
          <w:szCs w:val="28"/>
          <w:rtl/>
        </w:rPr>
        <w:t>(להלן</w:t>
      </w:r>
      <w:r w:rsidR="00E079EC">
        <w:rPr>
          <w:rFonts w:ascii="Century" w:hAnsi="Century" w:cs="FrankRuehl" w:hint="cs"/>
          <w:spacing w:val="10"/>
          <w:sz w:val="22"/>
          <w:szCs w:val="28"/>
          <w:rtl/>
        </w:rPr>
        <w:t xml:space="preserve">: </w:t>
      </w:r>
      <w:r w:rsidRPr="00E079EC">
        <w:rPr>
          <w:rFonts w:ascii="Century" w:hAnsi="Century" w:cs="Miriam"/>
          <w:b/>
          <w:sz w:val="22"/>
          <w:rtl/>
        </w:rPr>
        <w:t>עניין טיב טעם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>)</w:t>
      </w:r>
      <w:r w:rsidR="00B14207">
        <w:rPr>
          <w:rFonts w:ascii="Century" w:hAnsi="Century" w:cs="FrankRuehl" w:hint="cs"/>
          <w:spacing w:val="10"/>
          <w:sz w:val="22"/>
          <w:szCs w:val="28"/>
          <w:rtl/>
        </w:rPr>
        <w:t>,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בו הורה בית המשפט 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(כב' השופט </w:t>
      </w:r>
      <w:r w:rsidRPr="00E079EC">
        <w:rPr>
          <w:rFonts w:ascii="Century" w:hAnsi="Century" w:cs="Miriam" w:hint="cs"/>
          <w:b/>
          <w:sz w:val="22"/>
          <w:rtl/>
        </w:rPr>
        <w:t xml:space="preserve">א' </w:t>
      </w:r>
      <w:proofErr w:type="spellStart"/>
      <w:r w:rsidRPr="00E079EC">
        <w:rPr>
          <w:rFonts w:ascii="Century" w:hAnsi="Century" w:cs="Miriam" w:hint="cs"/>
          <w:b/>
          <w:sz w:val="22"/>
          <w:rtl/>
        </w:rPr>
        <w:t>יקואל</w:t>
      </w:r>
      <w:proofErr w:type="spellEnd"/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) </w:t>
      </w:r>
      <w:proofErr w:type="spellStart"/>
      <w:r w:rsidRPr="003E7295">
        <w:rPr>
          <w:rFonts w:ascii="Century" w:hAnsi="Century" w:cs="FrankRuehl"/>
          <w:spacing w:val="10"/>
          <w:sz w:val="22"/>
          <w:szCs w:val="28"/>
          <w:rtl/>
        </w:rPr>
        <w:t>לעיריה</w:t>
      </w:r>
      <w:proofErr w:type="spellEnd"/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לבחון את המכסות בהתאם לתיקון חוק העזר</w:t>
      </w:r>
      <w:r w:rsidR="00E079EC">
        <w:rPr>
          <w:rFonts w:ascii="Century" w:hAnsi="Century" w:cs="FrankRuehl" w:hint="cs"/>
          <w:spacing w:val="10"/>
          <w:sz w:val="22"/>
          <w:szCs w:val="28"/>
          <w:rtl/>
        </w:rPr>
        <w:t>,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וזאת </w:t>
      </w:r>
      <w:r w:rsidR="00D215F5">
        <w:rPr>
          <w:rFonts w:ascii="Century" w:hAnsi="Century" w:cs="FrankRuehl" w:hint="cs"/>
          <w:spacing w:val="10"/>
          <w:sz w:val="22"/>
          <w:szCs w:val="28"/>
          <w:rtl/>
        </w:rPr>
        <w:t>לפי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</w:t>
      </w:r>
      <w:r w:rsidR="00D215F5">
        <w:rPr>
          <w:rFonts w:ascii="Century" w:hAnsi="Century" w:cs="FrankRuehl" w:hint="cs"/>
          <w:spacing w:val="10"/>
          <w:sz w:val="22"/>
          <w:szCs w:val="28"/>
          <w:rtl/>
        </w:rPr>
        <w:t>ה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>נוסחה שנקבעה בקווים המנחים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.</w:t>
      </w:r>
      <w:r w:rsidRPr="003E7295">
        <w:rPr>
          <w:rFonts w:ascii="Century" w:hAnsi="Century" w:cs="FrankRuehl"/>
          <w:spacing w:val="10"/>
          <w:sz w:val="22"/>
          <w:szCs w:val="28"/>
        </w:rPr>
        <w:t xml:space="preserve"> </w:t>
      </w:r>
    </w:p>
    <w:p w:rsidR="003E7295" w:rsidRPr="00B14207" w:rsidRDefault="003E7295" w:rsidP="00E079EC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831205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בית המשפט לעניינים מינהל</w:t>
      </w:r>
      <w:r w:rsidR="00826A6F">
        <w:rPr>
          <w:rFonts w:ascii="Century" w:hAnsi="Century" w:cs="FrankRuehl" w:hint="cs"/>
          <w:spacing w:val="10"/>
          <w:sz w:val="22"/>
          <w:szCs w:val="28"/>
          <w:rtl/>
        </w:rPr>
        <w:t>י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ים (כב' השופט העמית </w:t>
      </w:r>
      <w:r w:rsidRPr="00826A6F">
        <w:rPr>
          <w:rFonts w:ascii="Century" w:hAnsi="Century" w:cs="Miriam" w:hint="cs"/>
          <w:b/>
          <w:sz w:val="22"/>
          <w:rtl/>
        </w:rPr>
        <w:t>ק' ורדי</w:t>
      </w:r>
      <w:r w:rsidR="006E402F">
        <w:rPr>
          <w:rFonts w:ascii="Century" w:hAnsi="Century" w:cs="FrankRuehl" w:hint="cs"/>
          <w:spacing w:val="10"/>
          <w:sz w:val="22"/>
          <w:szCs w:val="28"/>
          <w:rtl/>
        </w:rPr>
        <w:t>) קיבל את עמדת העירי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ה. נקבע כי עדכון המכסה נעשה במסגרת התיקון של חוק העזר שעמד בביקורתו השיפוטית של בית משפט זה, </w:t>
      </w:r>
      <w:r w:rsidR="006E402F">
        <w:rPr>
          <w:rFonts w:ascii="Century" w:hAnsi="Century" w:cs="FrankRuehl" w:hint="cs"/>
          <w:spacing w:val="10"/>
          <w:sz w:val="22"/>
          <w:szCs w:val="28"/>
          <w:rtl/>
        </w:rPr>
        <w:t>ו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בהתאם לנוסחה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שבקווים המנחים שעודכנה בהתאם למצב העובדתי </w:t>
      </w:r>
      <w:r w:rsidR="00B14207">
        <w:rPr>
          <w:rFonts w:ascii="Century" w:hAnsi="Century" w:cs="FrankRuehl" w:hint="cs"/>
          <w:spacing w:val="10"/>
          <w:sz w:val="22"/>
          <w:szCs w:val="28"/>
          <w:rtl/>
        </w:rPr>
        <w:t>העדכני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לשנת 2021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.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</w:t>
      </w:r>
    </w:p>
    <w:p w:rsidR="003E7295" w:rsidRPr="003E7295" w:rsidRDefault="003E7295" w:rsidP="00E079EC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עוד נקבע כי הדברים עולים בבירור 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>כבר מדברי ההסבר שצורפו להצעת ההחלטה שעמדה לדיון בפני חברי המועצה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.</w:t>
      </w:r>
      <w:r w:rsidRPr="003E7295">
        <w:rPr>
          <w:rFonts w:ascii="Century" w:hAnsi="Century" w:cs="FrankRuehl"/>
          <w:spacing w:val="10"/>
          <w:sz w:val="22"/>
          <w:szCs w:val="28"/>
          <w:rtl/>
        </w:rPr>
        <w:t xml:space="preserve"> </w:t>
      </w:r>
    </w:p>
    <w:p w:rsidR="003E7295" w:rsidRPr="003E7295" w:rsidRDefault="003E7295" w:rsidP="00E079EC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נפסק כי העירייה פעלה בהתאם לפסיקה בעניין </w:t>
      </w:r>
      <w:r w:rsidRPr="006E402F">
        <w:rPr>
          <w:rFonts w:ascii="Century" w:hAnsi="Century" w:cs="Miriam" w:hint="cs"/>
          <w:b/>
          <w:sz w:val="22"/>
          <w:rtl/>
        </w:rPr>
        <w:t>טיב טעם</w:t>
      </w:r>
      <w:bookmarkStart w:id="13" w:name="Seif17"/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, תוך דחיית טענות לפגמים בהפעלת שיקול הדעת ובהליך המ</w:t>
      </w:r>
      <w:r w:rsidR="006E402F">
        <w:rPr>
          <w:rFonts w:ascii="Century" w:hAnsi="Century" w:cs="FrankRuehl" w:hint="cs"/>
          <w:spacing w:val="10"/>
          <w:sz w:val="22"/>
          <w:szCs w:val="28"/>
          <w:rtl/>
        </w:rPr>
        <w:t>ינהלי, ודחיית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הטענה בדבר העדר תשתית עובדתית.</w:t>
      </w:r>
      <w:bookmarkEnd w:id="13"/>
      <w:r w:rsidRPr="003E7295">
        <w:rPr>
          <w:rFonts w:ascii="Century" w:hAnsi="Century" w:cs="FrankRuehl"/>
          <w:spacing w:val="10"/>
          <w:sz w:val="22"/>
          <w:szCs w:val="28"/>
        </w:rPr>
        <w:t xml:space="preserve"> </w:t>
      </w:r>
    </w:p>
    <w:p w:rsidR="003E7295" w:rsidRPr="003E7295" w:rsidRDefault="003E7295" w:rsidP="00E079EC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העתירה נדחתה אפוא, תוך חיוב המערער בהוצאות.</w:t>
      </w:r>
    </w:p>
    <w:p w:rsidR="003E7295" w:rsidRPr="003E7295" w:rsidRDefault="003E7295" w:rsidP="00E079EC">
      <w:pPr>
        <w:pStyle w:val="ae"/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על כך נסב הערעור שלפנינו. בגדרו אף הוגשה בקשה להגשת ראיות </w:t>
      </w:r>
      <w:r w:rsidR="006E402F">
        <w:rPr>
          <w:rFonts w:ascii="Century" w:hAnsi="Century" w:cs="FrankRuehl" w:hint="cs"/>
          <w:spacing w:val="10"/>
          <w:sz w:val="22"/>
          <w:szCs w:val="28"/>
          <w:rtl/>
        </w:rPr>
        <w:t xml:space="preserve">נוספות </w:t>
      </w:r>
      <w:r w:rsidR="0070664E">
        <w:rPr>
          <w:rFonts w:ascii="Century" w:hAnsi="Century" w:cs="FrankRuehl" w:hint="cs"/>
          <w:spacing w:val="10"/>
          <w:sz w:val="22"/>
          <w:szCs w:val="28"/>
          <w:rtl/>
        </w:rPr>
        <w:t xml:space="preserve">בערעור </w:t>
      </w:r>
      <w:r w:rsidR="006E402F">
        <w:rPr>
          <w:rFonts w:ascii="Century" w:hAnsi="Century" w:cs="FrankRuehl" w:hint="cs"/>
          <w:spacing w:val="10"/>
          <w:sz w:val="22"/>
          <w:szCs w:val="28"/>
          <w:rtl/>
        </w:rPr>
        <w:t>שאותה אנו רואים לדחות בשל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כך שאין היא עונה על אמות המידה הקבועות בדין בהקשר זה (בעניין זה נוסיף כי באותה מידה אין אנו רואים לה</w:t>
      </w:r>
      <w:r w:rsidR="006E402F">
        <w:rPr>
          <w:rFonts w:ascii="Century" w:hAnsi="Century" w:cs="FrankRuehl" w:hint="cs"/>
          <w:spacing w:val="10"/>
          <w:sz w:val="22"/>
          <w:szCs w:val="28"/>
          <w:rtl/>
        </w:rPr>
        <w:t>ידרש לטענות העיריה ש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מתייחסות לאירועים שלאחר מתן פסק הדין נושא הערעור).</w:t>
      </w:r>
    </w:p>
    <w:p w:rsidR="003E7295" w:rsidRPr="003E7295" w:rsidRDefault="003E7295" w:rsidP="00E079EC">
      <w:pPr>
        <w:pStyle w:val="ae"/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המערער חולק על ממצאיו ומסקנותיו של בית המשפט לעניינים מינהליים בסוגיות שעמדו להכרעתו.</w:t>
      </w:r>
    </w:p>
    <w:p w:rsidR="003E7295" w:rsidRPr="003E7295" w:rsidRDefault="003E7295" w:rsidP="00E079EC">
      <w:pPr>
        <w:pStyle w:val="ae"/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שקלנו את טיעוני הצדדים בכתב ובעל פה.</w:t>
      </w:r>
    </w:p>
    <w:p w:rsidR="003E7295" w:rsidRPr="003E7295" w:rsidRDefault="003E7295" w:rsidP="00E079EC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לא ראינו לדחות את הממצא</w:t>
      </w:r>
      <w:r w:rsidR="006E402F">
        <w:rPr>
          <w:rFonts w:ascii="Century" w:hAnsi="Century" w:cs="FrankRuehl" w:hint="cs"/>
          <w:spacing w:val="10"/>
          <w:sz w:val="22"/>
          <w:szCs w:val="28"/>
          <w:rtl/>
        </w:rPr>
        <w:t xml:space="preserve">ים העובדתיים שנקבעו על ידי בית 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משפט קמא, ואלה תומכים במסקנה המשפטית שאין לגלות בה טעות שבחוק.</w:t>
      </w:r>
    </w:p>
    <w:p w:rsidR="003E7295" w:rsidRPr="003E7295" w:rsidRDefault="003E7295" w:rsidP="00E079EC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Pr="003E7295" w:rsidRDefault="003E7295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אנו דוחים אפוא את הערעור בגדר סמכותנו לפי תקנה 148(ב) לתקנות סדר הדין האזרחי</w:t>
      </w:r>
      <w:r w:rsidR="006E402F">
        <w:rPr>
          <w:rFonts w:ascii="Century" w:hAnsi="Century" w:cs="FrankRuehl" w:hint="cs"/>
          <w:spacing w:val="10"/>
          <w:sz w:val="22"/>
          <w:szCs w:val="28"/>
          <w:rtl/>
        </w:rPr>
        <w:t>, התשע"ט-2018</w:t>
      </w:r>
      <w:r w:rsidR="00C17A0F">
        <w:rPr>
          <w:rFonts w:ascii="Century" w:hAnsi="Century" w:cs="FrankRuehl" w:hint="cs"/>
          <w:spacing w:val="10"/>
          <w:sz w:val="22"/>
          <w:szCs w:val="28"/>
          <w:rtl/>
        </w:rPr>
        <w:t xml:space="preserve">, שחלה על ההליך לפי תקנה 34 לתקנות בתי משפט </w:t>
      </w:r>
      <w:proofErr w:type="spellStart"/>
      <w:r w:rsidR="00C17A0F">
        <w:rPr>
          <w:rFonts w:ascii="Century" w:hAnsi="Century" w:cs="FrankRuehl" w:hint="cs"/>
          <w:spacing w:val="10"/>
          <w:sz w:val="22"/>
          <w:szCs w:val="28"/>
          <w:rtl/>
        </w:rPr>
        <w:t>לענינים</w:t>
      </w:r>
      <w:proofErr w:type="spellEnd"/>
      <w:r w:rsidR="00C17A0F">
        <w:rPr>
          <w:rFonts w:ascii="Century" w:hAnsi="Century" w:cs="FrankRuehl" w:hint="cs"/>
          <w:spacing w:val="10"/>
          <w:sz w:val="22"/>
          <w:szCs w:val="28"/>
          <w:rtl/>
        </w:rPr>
        <w:t xml:space="preserve"> </w:t>
      </w:r>
      <w:proofErr w:type="spellStart"/>
      <w:r w:rsidR="00C17A0F">
        <w:rPr>
          <w:rFonts w:ascii="Century" w:hAnsi="Century" w:cs="FrankRuehl" w:hint="cs"/>
          <w:spacing w:val="10"/>
          <w:sz w:val="22"/>
          <w:szCs w:val="28"/>
          <w:rtl/>
        </w:rPr>
        <w:t>מינהליים</w:t>
      </w:r>
      <w:proofErr w:type="spellEnd"/>
      <w:r w:rsidR="00C17A0F">
        <w:rPr>
          <w:rFonts w:ascii="Century" w:hAnsi="Century" w:cs="FrankRuehl" w:hint="cs"/>
          <w:spacing w:val="10"/>
          <w:sz w:val="22"/>
          <w:szCs w:val="28"/>
          <w:rtl/>
        </w:rPr>
        <w:t xml:space="preserve"> (סדרי דין), התשס"א-2000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.</w:t>
      </w:r>
    </w:p>
    <w:p w:rsidR="003E7295" w:rsidRPr="003E7295" w:rsidRDefault="003E7295" w:rsidP="00E079EC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3E7295" w:rsidRDefault="003E7295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בשים לב לנושא העתירה ובקשת </w:t>
      </w:r>
      <w:r w:rsidR="006E402F">
        <w:rPr>
          <w:rFonts w:ascii="Century" w:hAnsi="Century" w:cs="FrankRuehl" w:hint="cs"/>
          <w:spacing w:val="10"/>
          <w:sz w:val="22"/>
          <w:szCs w:val="28"/>
          <w:rtl/>
        </w:rPr>
        <w:t>בא כוח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 המערער, נחייב את המערער בהוצאות על הצד הנמוך בסך 7</w:t>
      </w:r>
      <w:r w:rsidR="00147641">
        <w:rPr>
          <w:rFonts w:ascii="Century" w:hAnsi="Century" w:cs="FrankRuehl" w:hint="cs"/>
          <w:spacing w:val="10"/>
          <w:sz w:val="22"/>
          <w:szCs w:val="28"/>
          <w:rtl/>
        </w:rPr>
        <w:t>,</w:t>
      </w:r>
      <w:bookmarkStart w:id="14" w:name="_GoBack"/>
      <w:bookmarkEnd w:id="14"/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 xml:space="preserve">500 </w:t>
      </w:r>
      <w:r w:rsidR="006E402F">
        <w:rPr>
          <w:rFonts w:ascii="Century" w:hAnsi="Century" w:cs="FrankRuehl" w:hint="cs"/>
          <w:spacing w:val="10"/>
          <w:sz w:val="22"/>
          <w:szCs w:val="28"/>
          <w:rtl/>
        </w:rPr>
        <w:t>ש"ח</w:t>
      </w:r>
      <w:r w:rsidRPr="003E7295">
        <w:rPr>
          <w:rFonts w:ascii="Century" w:hAnsi="Century" w:cs="FrankRuehl" w:hint="cs"/>
          <w:spacing w:val="10"/>
          <w:sz w:val="22"/>
          <w:szCs w:val="28"/>
          <w:rtl/>
        </w:rPr>
        <w:t>.</w:t>
      </w:r>
    </w:p>
    <w:p w:rsidR="006E402F" w:rsidRDefault="006E402F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p w:rsidR="006E402F" w:rsidRDefault="006E402F" w:rsidP="006E402F">
      <w:pPr>
        <w:spacing w:line="360" w:lineRule="auto"/>
        <w:ind w:firstLine="720"/>
        <w:jc w:val="both"/>
        <w:rPr>
          <w:rFonts w:ascii="Century" w:hAnsi="Century" w:cs="FrankRuehl"/>
          <w:spacing w:val="10"/>
          <w:sz w:val="22"/>
          <w:szCs w:val="28"/>
          <w:rtl/>
        </w:rPr>
      </w:pPr>
      <w:r>
        <w:rPr>
          <w:rFonts w:ascii="Century" w:hAnsi="Century" w:cs="FrankRuehl" w:hint="eastAsia"/>
          <w:spacing w:val="10"/>
          <w:sz w:val="22"/>
          <w:szCs w:val="28"/>
          <w:rtl/>
        </w:rPr>
        <w:t>ניתן</w:t>
      </w:r>
      <w:r>
        <w:rPr>
          <w:rFonts w:ascii="Century" w:hAnsi="Century" w:cs="FrankRuehl"/>
          <w:spacing w:val="10"/>
          <w:sz w:val="22"/>
          <w:szCs w:val="28"/>
          <w:rtl/>
        </w:rPr>
        <w:t xml:space="preserve"> </w:t>
      </w:r>
      <w:r>
        <w:rPr>
          <w:rFonts w:ascii="Century" w:hAnsi="Century" w:cs="FrankRuehl" w:hint="eastAsia"/>
          <w:spacing w:val="10"/>
          <w:sz w:val="22"/>
          <w:szCs w:val="28"/>
          <w:rtl/>
        </w:rPr>
        <w:t>היום</w:t>
      </w:r>
      <w:r>
        <w:rPr>
          <w:rFonts w:ascii="Century" w:hAnsi="Century" w:cs="FrankRuehl"/>
          <w:spacing w:val="10"/>
          <w:sz w:val="22"/>
          <w:szCs w:val="28"/>
          <w:rtl/>
        </w:rPr>
        <w:t xml:space="preserve">, </w:t>
      </w:r>
      <w:r>
        <w:rPr>
          <w:rFonts w:ascii="Century" w:hAnsi="Century" w:cs="FrankRuehl" w:hint="eastAsia"/>
          <w:spacing w:val="10"/>
          <w:sz w:val="22"/>
          <w:szCs w:val="28"/>
          <w:rtl/>
        </w:rPr>
        <w:t>‏כ</w:t>
      </w:r>
      <w:r>
        <w:rPr>
          <w:rFonts w:ascii="Century" w:hAnsi="Century" w:cs="FrankRuehl"/>
          <w:spacing w:val="10"/>
          <w:sz w:val="22"/>
          <w:szCs w:val="28"/>
          <w:rtl/>
        </w:rPr>
        <w:t>"</w:t>
      </w:r>
      <w:r>
        <w:rPr>
          <w:rFonts w:ascii="Century" w:hAnsi="Century" w:cs="FrankRuehl" w:hint="eastAsia"/>
          <w:spacing w:val="10"/>
          <w:sz w:val="22"/>
          <w:szCs w:val="28"/>
          <w:rtl/>
        </w:rPr>
        <w:t>ז</w:t>
      </w:r>
      <w:r>
        <w:rPr>
          <w:rFonts w:ascii="Century" w:hAnsi="Century" w:cs="FrankRuehl"/>
          <w:spacing w:val="10"/>
          <w:sz w:val="22"/>
          <w:szCs w:val="28"/>
          <w:rtl/>
        </w:rPr>
        <w:t xml:space="preserve"> </w:t>
      </w:r>
      <w:r>
        <w:rPr>
          <w:rFonts w:ascii="Century" w:hAnsi="Century" w:cs="FrankRuehl" w:hint="eastAsia"/>
          <w:spacing w:val="10"/>
          <w:sz w:val="22"/>
          <w:szCs w:val="28"/>
          <w:rtl/>
        </w:rPr>
        <w:t>באדר</w:t>
      </w:r>
      <w:r>
        <w:rPr>
          <w:rFonts w:ascii="Century" w:hAnsi="Century" w:cs="FrankRuehl"/>
          <w:spacing w:val="10"/>
          <w:sz w:val="22"/>
          <w:szCs w:val="28"/>
          <w:rtl/>
        </w:rPr>
        <w:t xml:space="preserve"> </w:t>
      </w:r>
      <w:proofErr w:type="spellStart"/>
      <w:r>
        <w:rPr>
          <w:rFonts w:ascii="Century" w:hAnsi="Century" w:cs="FrankRuehl" w:hint="eastAsia"/>
          <w:spacing w:val="10"/>
          <w:sz w:val="22"/>
          <w:szCs w:val="28"/>
          <w:rtl/>
        </w:rPr>
        <w:t>התשפ</w:t>
      </w:r>
      <w:r>
        <w:rPr>
          <w:rFonts w:ascii="Century" w:hAnsi="Century" w:cs="FrankRuehl"/>
          <w:spacing w:val="10"/>
          <w:sz w:val="22"/>
          <w:szCs w:val="28"/>
          <w:rtl/>
        </w:rPr>
        <w:t>"</w:t>
      </w:r>
      <w:r>
        <w:rPr>
          <w:rFonts w:ascii="Century" w:hAnsi="Century" w:cs="FrankRuehl" w:hint="eastAsia"/>
          <w:spacing w:val="10"/>
          <w:sz w:val="22"/>
          <w:szCs w:val="28"/>
          <w:rtl/>
        </w:rPr>
        <w:t>ג</w:t>
      </w:r>
      <w:proofErr w:type="spellEnd"/>
      <w:r>
        <w:rPr>
          <w:rFonts w:ascii="Century" w:hAnsi="Century" w:cs="FrankRuehl"/>
          <w:spacing w:val="10"/>
          <w:sz w:val="22"/>
          <w:szCs w:val="28"/>
          <w:rtl/>
        </w:rPr>
        <w:t xml:space="preserve"> (</w:t>
      </w:r>
      <w:r>
        <w:rPr>
          <w:rFonts w:ascii="Century" w:hAnsi="Century" w:cs="FrankRuehl" w:hint="eastAsia"/>
          <w:spacing w:val="10"/>
          <w:sz w:val="22"/>
          <w:szCs w:val="28"/>
          <w:rtl/>
        </w:rPr>
        <w:t>‏</w:t>
      </w:r>
      <w:r>
        <w:rPr>
          <w:rFonts w:ascii="Century" w:hAnsi="Century" w:cs="FrankRuehl"/>
          <w:spacing w:val="10"/>
          <w:sz w:val="22"/>
          <w:szCs w:val="28"/>
          <w:rtl/>
        </w:rPr>
        <w:t>20.3.2023).</w:t>
      </w:r>
    </w:p>
    <w:p w:rsidR="006E402F" w:rsidRPr="003E7295" w:rsidRDefault="006E402F" w:rsidP="00D53CC2">
      <w:pPr>
        <w:spacing w:line="360" w:lineRule="auto"/>
        <w:jc w:val="both"/>
        <w:rPr>
          <w:rFonts w:ascii="Century" w:hAnsi="Century" w:cs="FrankRuehl"/>
          <w:spacing w:val="10"/>
          <w:sz w:val="22"/>
          <w:szCs w:val="28"/>
        </w:rPr>
      </w:pPr>
    </w:p>
    <w:p w:rsidR="003E7295" w:rsidRPr="003E7295" w:rsidRDefault="003E7295" w:rsidP="00E079EC">
      <w:pPr>
        <w:keepNext/>
        <w:spacing w:line="360" w:lineRule="auto"/>
        <w:jc w:val="both"/>
        <w:rPr>
          <w:rFonts w:ascii="Century" w:hAnsi="Century" w:cs="FrankRuehl"/>
          <w:spacing w:val="10"/>
          <w:sz w:val="22"/>
          <w:szCs w:val="28"/>
          <w:rtl/>
        </w:rPr>
      </w:pPr>
    </w:p>
    <w:tbl>
      <w:tblPr>
        <w:bidiVisual/>
        <w:tblW w:w="8363" w:type="dxa"/>
        <w:tblLook w:val="01E0" w:firstRow="1" w:lastRow="1" w:firstColumn="1" w:lastColumn="1" w:noHBand="0" w:noVBand="0"/>
      </w:tblPr>
      <w:tblGrid>
        <w:gridCol w:w="2797"/>
        <w:gridCol w:w="2783"/>
        <w:gridCol w:w="2783"/>
      </w:tblGrid>
      <w:tr w:rsidR="001A0164" w:rsidTr="00D53CC2">
        <w:tc>
          <w:tcPr>
            <w:tcW w:w="2797" w:type="dxa"/>
            <w:shd w:val="clear" w:color="auto" w:fill="auto"/>
          </w:tcPr>
          <w:p w:rsidR="00016EF1" w:rsidRDefault="00E01476" w:rsidP="00A51FAE">
            <w:pPr>
              <w:pStyle w:val="Ruller4"/>
              <w:rPr>
                <w:rtl/>
              </w:rPr>
            </w:pPr>
            <w:r>
              <w:rPr>
                <w:rtl/>
              </w:rPr>
              <w:t>המשנה לנשיאה</w:t>
            </w:r>
          </w:p>
        </w:tc>
        <w:tc>
          <w:tcPr>
            <w:tcW w:w="2783" w:type="dxa"/>
            <w:shd w:val="clear" w:color="auto" w:fill="auto"/>
          </w:tcPr>
          <w:p w:rsidR="001A0164" w:rsidRDefault="00E01476" w:rsidP="00BA0B08">
            <w:pPr>
              <w:pStyle w:val="Ruller4"/>
              <w:jc w:val="center"/>
              <w:rPr>
                <w:rtl/>
              </w:rPr>
            </w:pPr>
            <w:r>
              <w:rPr>
                <w:rtl/>
              </w:rPr>
              <w:t>ש ו פ ט</w:t>
            </w:r>
          </w:p>
        </w:tc>
        <w:tc>
          <w:tcPr>
            <w:tcW w:w="2783" w:type="dxa"/>
            <w:shd w:val="clear" w:color="auto" w:fill="auto"/>
          </w:tcPr>
          <w:p w:rsidR="001A0164" w:rsidRDefault="00E01476" w:rsidP="003E7295">
            <w:pPr>
              <w:pStyle w:val="Ruller4"/>
              <w:jc w:val="right"/>
              <w:rPr>
                <w:rtl/>
              </w:rPr>
            </w:pPr>
            <w:r>
              <w:rPr>
                <w:rtl/>
              </w:rPr>
              <w:t>ש ו פ ט</w:t>
            </w:r>
          </w:p>
        </w:tc>
      </w:tr>
    </w:tbl>
    <w:p w:rsidR="00916FF8" w:rsidRDefault="00916FF8">
      <w:pPr>
        <w:rPr>
          <w:szCs w:val="16"/>
          <w:rtl/>
        </w:rPr>
      </w:pPr>
      <w:r>
        <w:rPr>
          <w:szCs w:val="16"/>
          <w:rtl/>
        </w:rPr>
        <w:t>_________________</w:t>
      </w:r>
      <w:r w:rsidR="00A12E0F">
        <w:rPr>
          <w:rFonts w:hint="cs"/>
          <w:szCs w:val="16"/>
          <w:rtl/>
        </w:rPr>
        <w:t>________</w:t>
      </w:r>
    </w:p>
    <w:p w:rsidR="00916FF8" w:rsidRDefault="00591983" w:rsidP="00B009CC">
      <w:pPr>
        <w:pStyle w:val="Ruller38"/>
        <w:rPr>
          <w:rtl/>
        </w:rPr>
      </w:pPr>
      <w:r>
        <w:rPr>
          <w:sz w:val="16"/>
        </w:rPr>
        <w:t xml:space="preserve"> </w:t>
      </w:r>
      <w:r w:rsidR="00A12E0F">
        <w:rPr>
          <w:sz w:val="16"/>
        </w:rPr>
        <w:t xml:space="preserve">  </w:t>
      </w:r>
      <w:r w:rsidR="00E01476">
        <w:rPr>
          <w:sz w:val="16"/>
        </w:rPr>
        <w:t xml:space="preserve">22034610_M09.docx   </w:t>
      </w:r>
      <w:proofErr w:type="spellStart"/>
      <w:r w:rsidR="00E01476">
        <w:rPr>
          <w:sz w:val="16"/>
          <w:rtl/>
        </w:rPr>
        <w:t>ננ</w:t>
      </w:r>
      <w:proofErr w:type="spellEnd"/>
    </w:p>
    <w:p w:rsidR="00591983" w:rsidRPr="00FC0252" w:rsidRDefault="00591983" w:rsidP="00FC0252">
      <w:pPr>
        <w:pStyle w:val="Ruller38"/>
        <w:rPr>
          <w:rtl/>
        </w:rPr>
      </w:pPr>
      <w:r>
        <w:rPr>
          <w:rtl/>
        </w:rPr>
        <w:t>מרכז מידע, טל'</w:t>
      </w:r>
      <w:r>
        <w:rPr>
          <w:rFonts w:hint="cs"/>
          <w:rtl/>
        </w:rPr>
        <w:t xml:space="preserve"> </w:t>
      </w:r>
      <w:r w:rsidR="00B63343">
        <w:rPr>
          <w:rFonts w:hint="cs"/>
          <w:rtl/>
        </w:rPr>
        <w:t>077</w:t>
      </w:r>
      <w:r>
        <w:rPr>
          <w:rFonts w:hint="cs"/>
          <w:rtl/>
        </w:rPr>
        <w:t>-</w:t>
      </w:r>
      <w:r w:rsidR="00B63343">
        <w:rPr>
          <w:rFonts w:hint="cs"/>
          <w:rtl/>
        </w:rPr>
        <w:t>270</w:t>
      </w:r>
      <w:r w:rsidR="00E21CA9">
        <w:rPr>
          <w:rFonts w:hint="cs"/>
          <w:rtl/>
        </w:rPr>
        <w:t>3</w:t>
      </w:r>
      <w:r w:rsidR="009B38DA">
        <w:rPr>
          <w:rFonts w:hint="cs"/>
          <w:rtl/>
        </w:rPr>
        <w:t>333</w:t>
      </w:r>
      <w:r w:rsidR="00866D0F">
        <w:rPr>
          <w:rFonts w:hint="cs"/>
          <w:rtl/>
        </w:rPr>
        <w:t>, 3852*</w:t>
      </w:r>
      <w:r>
        <w:rPr>
          <w:rFonts w:hint="cs"/>
          <w:rtl/>
        </w:rPr>
        <w:t xml:space="preserve"> ; אתר אינטרנט,  </w:t>
      </w:r>
      <w:hyperlink r:id="rId8" w:history="1">
        <w:r w:rsidR="00FC0252" w:rsidRPr="00BB4C68">
          <w:rPr>
            <w:rStyle w:val="Hyperlink"/>
            <w:sz w:val="16"/>
          </w:rPr>
          <w:t>https://supreme.court.gov.il</w:t>
        </w:r>
      </w:hyperlink>
    </w:p>
    <w:p w:rsidR="003F1F97" w:rsidRDefault="003F1F97" w:rsidP="00591983">
      <w:pPr>
        <w:pStyle w:val="Ruller38"/>
        <w:rPr>
          <w:rtl/>
        </w:rPr>
      </w:pPr>
    </w:p>
    <w:sectPr w:rsidR="003F1F97" w:rsidSect="0059198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lowerLetter"/>
      </w:endnotePr>
      <w:pgSz w:w="11906" w:h="16838" w:code="9"/>
      <w:pgMar w:top="1134" w:right="1797" w:bottom="1440" w:left="1797" w:header="567" w:footer="397" w:gutter="0"/>
      <w:cols w:space="720"/>
      <w:titlePg/>
      <w:bidi/>
      <w:rtlGutter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3">
      <wne:acd wne:acdName="acd0"/>
    </wne:keymap>
    <wne:keymap wne:kcmPrimary="0434">
      <wne:acd wne:acdName="acd1"/>
    </wne:keymap>
    <wne:keymap wne:kcmPrimary="0435">
      <wne:acd wne:acdName="acd2"/>
    </wne:keymap>
  </wne:keymaps>
  <wne:toolbars>
    <wne:acdManifest>
      <wne:acdEntry wne:acdName="acd0"/>
      <wne:acdEntry wne:acdName="acd1"/>
      <wne:acdEntry wne:acdName="acd2"/>
    </wne:acdManifest>
    <wne:toolbarData r:id="rId1"/>
  </wne:toolbars>
  <wne:acds>
    <wne:acd wne:argValue="AgBSAHUAbABsAGUAcgAgADMA" wne:acdName="acd0" wne:fciIndexBasedOn="0065"/>
    <wne:acd wne:argValue="AgBSAHUAbABsAGUAcgA0AA==" wne:acdName="acd1" wne:fciIndexBasedOn="0065"/>
    <wne:acd wne:argValue="AgBSAHUAbABsAGUAcgA1AA==" wne:acdName="acd2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7512" w:rsidRDefault="007F7512">
      <w:r>
        <w:separator/>
      </w:r>
    </w:p>
  </w:endnote>
  <w:endnote w:type="continuationSeparator" w:id="0">
    <w:p w:rsidR="007F7512" w:rsidRDefault="007F7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Arial TUR">
    <w:charset w:val="00"/>
    <w:family w:val="swiss"/>
    <w:pitch w:val="variable"/>
    <w:sig w:usb0="E0002EFF" w:usb1="C000785B" w:usb2="00000009" w:usb3="00000000" w:csb0="000001FF" w:csb1="00000000"/>
  </w:font>
  <w:font w:name="DavidFix">
    <w:charset w:val="B1"/>
    <w:family w:val="auto"/>
    <w:pitch w:val="variable"/>
    <w:sig w:usb0="00001801" w:usb1="00000000" w:usb2="00000000" w:usb3="00000000" w:csb0="00000020" w:csb1="00000000"/>
  </w:font>
  <w:font w:name="Guttman Yad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102" w:rsidRDefault="00377102">
    <w:pPr>
      <w:pStyle w:val="a3"/>
      <w:framePr w:wrap="around" w:vAnchor="text" w:hAnchor="margin" w:xAlign="center" w:y="1"/>
      <w:rPr>
        <w:rStyle w:val="a4"/>
        <w:rtl/>
      </w:rPr>
    </w:pPr>
    <w:r>
      <w:rPr>
        <w:rStyle w:val="a4"/>
        <w:rtl/>
      </w:rPr>
      <w:fldChar w:fldCharType="begin"/>
    </w:r>
    <w:r>
      <w:rPr>
        <w:rStyle w:val="a4"/>
      </w:rPr>
      <w:instrText xml:space="preserve">PAGE  </w:instrText>
    </w:r>
    <w:r>
      <w:rPr>
        <w:rStyle w:val="a4"/>
        <w:rtl/>
      </w:rPr>
      <w:fldChar w:fldCharType="separate"/>
    </w:r>
    <w:r w:rsidR="00BC0E82">
      <w:rPr>
        <w:rStyle w:val="a4"/>
        <w:noProof/>
        <w:rtl/>
      </w:rPr>
      <w:t>1</w:t>
    </w:r>
    <w:r>
      <w:rPr>
        <w:rStyle w:val="a4"/>
        <w:rtl/>
      </w:rPr>
      <w:fldChar w:fldCharType="end"/>
    </w:r>
  </w:p>
  <w:p w:rsidR="00377102" w:rsidRDefault="00377102">
    <w:pPr>
      <w:pStyle w:val="a3"/>
      <w:rPr>
        <w:rtl/>
      </w:rPr>
    </w:pPr>
  </w:p>
  <w:p w:rsidR="00377102" w:rsidRDefault="0037710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1476" w:rsidRDefault="00E0147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5B4D" w:rsidRPr="00F959DB" w:rsidRDefault="00045B4D" w:rsidP="00914156">
    <w:pPr>
      <w:pStyle w:val="a3"/>
      <w:bidi w:val="0"/>
      <w:jc w:val="right"/>
      <w:rPr>
        <w:sz w:val="16"/>
        <w:szCs w:val="16"/>
      </w:rPr>
    </w:pPr>
    <w:bookmarkStart w:id="15" w:name="footer_line"/>
    <w:bookmarkEnd w:id="15"/>
  </w:p>
  <w:p w:rsidR="00045B4D" w:rsidRDefault="00045B4D">
    <w:pPr>
      <w:pStyle w:val="a3"/>
      <w:rPr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7512" w:rsidRDefault="007F7512">
      <w:r>
        <w:separator/>
      </w:r>
    </w:p>
  </w:footnote>
  <w:footnote w:type="continuationSeparator" w:id="0">
    <w:p w:rsidR="007F7512" w:rsidRDefault="007F75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102" w:rsidRDefault="00377102">
    <w:pPr>
      <w:pStyle w:val="a5"/>
      <w:framePr w:wrap="around" w:vAnchor="text" w:hAnchor="margin" w:xAlign="center" w:y="1"/>
      <w:rPr>
        <w:rStyle w:val="a4"/>
        <w:rtl/>
      </w:rPr>
    </w:pPr>
    <w:r>
      <w:rPr>
        <w:rStyle w:val="a4"/>
        <w:rtl/>
      </w:rPr>
      <w:fldChar w:fldCharType="begin"/>
    </w:r>
    <w:r>
      <w:rPr>
        <w:rStyle w:val="a4"/>
      </w:rPr>
      <w:instrText xml:space="preserve">PAGE  </w:instrText>
    </w:r>
    <w:r>
      <w:rPr>
        <w:rStyle w:val="a4"/>
        <w:rtl/>
      </w:rPr>
      <w:fldChar w:fldCharType="separate"/>
    </w:r>
    <w:r w:rsidR="00BC0E82">
      <w:rPr>
        <w:rStyle w:val="a4"/>
        <w:noProof/>
        <w:rtl/>
      </w:rPr>
      <w:t>1</w:t>
    </w:r>
    <w:r>
      <w:rPr>
        <w:rStyle w:val="a4"/>
        <w:rtl/>
      </w:rPr>
      <w:fldChar w:fldCharType="end"/>
    </w:r>
  </w:p>
  <w:p w:rsidR="00377102" w:rsidRDefault="00377102">
    <w:pPr>
      <w:pStyle w:val="a5"/>
      <w:rPr>
        <w:rtl/>
      </w:rPr>
    </w:pPr>
  </w:p>
  <w:p w:rsidR="00377102" w:rsidRDefault="0037710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102" w:rsidRDefault="00377102">
    <w:pPr>
      <w:pStyle w:val="a5"/>
      <w:framePr w:wrap="around" w:vAnchor="text" w:hAnchor="margin" w:xAlign="center" w:y="1"/>
      <w:rPr>
        <w:rStyle w:val="a4"/>
        <w:rtl/>
      </w:rPr>
    </w:pPr>
    <w:r>
      <w:rPr>
        <w:rStyle w:val="a4"/>
        <w:rtl/>
      </w:rPr>
      <w:fldChar w:fldCharType="begin"/>
    </w:r>
    <w:r>
      <w:rPr>
        <w:rStyle w:val="a4"/>
      </w:rPr>
      <w:instrText xml:space="preserve">PAGE  </w:instrText>
    </w:r>
    <w:r>
      <w:rPr>
        <w:rStyle w:val="a4"/>
        <w:rtl/>
      </w:rPr>
      <w:fldChar w:fldCharType="separate"/>
    </w:r>
    <w:r w:rsidR="00147641">
      <w:rPr>
        <w:rStyle w:val="a4"/>
        <w:noProof/>
        <w:rtl/>
      </w:rPr>
      <w:t>3</w:t>
    </w:r>
    <w:r>
      <w:rPr>
        <w:rStyle w:val="a4"/>
        <w:rtl/>
      </w:rPr>
      <w:fldChar w:fldCharType="end"/>
    </w:r>
  </w:p>
  <w:p w:rsidR="00377102" w:rsidRDefault="00377102">
    <w:pPr>
      <w:pStyle w:val="a5"/>
      <w:rPr>
        <w:rtl/>
      </w:rPr>
    </w:pPr>
  </w:p>
  <w:p w:rsidR="00377102" w:rsidRDefault="00377102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8363" w:type="dxa"/>
      <w:tblLook w:val="0000" w:firstRow="0" w:lastRow="0" w:firstColumn="0" w:lastColumn="0" w:noHBand="0" w:noVBand="0"/>
    </w:tblPr>
    <w:tblGrid>
      <w:gridCol w:w="8363"/>
    </w:tblGrid>
    <w:tr w:rsidR="00045B4D" w:rsidTr="00EC23AC">
      <w:trPr>
        <w:trHeight w:val="342"/>
      </w:trPr>
      <w:tc>
        <w:tcPr>
          <w:tcW w:w="9828" w:type="dxa"/>
        </w:tcPr>
        <w:p w:rsidR="00377102" w:rsidRPr="002F7BB6" w:rsidRDefault="00EE3810" w:rsidP="00045B4D">
          <w:pPr>
            <w:pStyle w:val="Casenameintextbody"/>
            <w:jc w:val="center"/>
            <w:rPr>
              <w:u w:val="none"/>
              <w:rtl/>
            </w:rPr>
          </w:pPr>
          <w:r w:rsidRPr="002F7BB6">
            <w:rPr>
              <w:noProof/>
              <w:sz w:val="16"/>
              <w:szCs w:val="18"/>
              <w:u w:val="none"/>
              <w:rtl/>
            </w:rPr>
            <w:drawing>
              <wp:inline distT="0" distB="0" distL="0" distR="0">
                <wp:extent cx="464820" cy="449580"/>
                <wp:effectExtent l="0" t="0" r="0" b="7620"/>
                <wp:docPr id="1" name="תמונה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4820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045B4D" w:rsidRDefault="00045B4D" w:rsidP="00045B4D">
    <w:pPr>
      <w:pStyle w:val="a5"/>
      <w:jc w:val="center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77A4F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EB8EE9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6485F0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830032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204653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1CCE6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102649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21A091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7046C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B800B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20"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lowerLetter"/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227"/>
    <w:rsid w:val="00016C0F"/>
    <w:rsid w:val="00016EF1"/>
    <w:rsid w:val="00032036"/>
    <w:rsid w:val="00036227"/>
    <w:rsid w:val="00044953"/>
    <w:rsid w:val="00045B4D"/>
    <w:rsid w:val="000725F5"/>
    <w:rsid w:val="00072AD2"/>
    <w:rsid w:val="000B1478"/>
    <w:rsid w:val="000C4690"/>
    <w:rsid w:val="000D25C4"/>
    <w:rsid w:val="00134A67"/>
    <w:rsid w:val="00147641"/>
    <w:rsid w:val="001A0164"/>
    <w:rsid w:val="00200D6B"/>
    <w:rsid w:val="00215E78"/>
    <w:rsid w:val="00265F6E"/>
    <w:rsid w:val="0026749A"/>
    <w:rsid w:val="002876BF"/>
    <w:rsid w:val="002A4A7A"/>
    <w:rsid w:val="002A4BF3"/>
    <w:rsid w:val="002F7BB6"/>
    <w:rsid w:val="00304DB9"/>
    <w:rsid w:val="003448B2"/>
    <w:rsid w:val="00361DB2"/>
    <w:rsid w:val="0037622E"/>
    <w:rsid w:val="00377102"/>
    <w:rsid w:val="0039709B"/>
    <w:rsid w:val="003A5DBB"/>
    <w:rsid w:val="003D72DA"/>
    <w:rsid w:val="003E7295"/>
    <w:rsid w:val="003F1F97"/>
    <w:rsid w:val="0041048F"/>
    <w:rsid w:val="00437D59"/>
    <w:rsid w:val="004610A4"/>
    <w:rsid w:val="00466B0E"/>
    <w:rsid w:val="004915E2"/>
    <w:rsid w:val="004A0634"/>
    <w:rsid w:val="004B29FF"/>
    <w:rsid w:val="004C7868"/>
    <w:rsid w:val="00503A3E"/>
    <w:rsid w:val="00527F02"/>
    <w:rsid w:val="005803E2"/>
    <w:rsid w:val="0058440A"/>
    <w:rsid w:val="00591983"/>
    <w:rsid w:val="00623668"/>
    <w:rsid w:val="00624A42"/>
    <w:rsid w:val="00646A8C"/>
    <w:rsid w:val="0065522F"/>
    <w:rsid w:val="006A30F7"/>
    <w:rsid w:val="006C42AD"/>
    <w:rsid w:val="006E402F"/>
    <w:rsid w:val="0070664E"/>
    <w:rsid w:val="00725345"/>
    <w:rsid w:val="00727712"/>
    <w:rsid w:val="00741CC0"/>
    <w:rsid w:val="00783C7E"/>
    <w:rsid w:val="007B512F"/>
    <w:rsid w:val="007F1B66"/>
    <w:rsid w:val="007F7512"/>
    <w:rsid w:val="00810894"/>
    <w:rsid w:val="008143AB"/>
    <w:rsid w:val="00814EC0"/>
    <w:rsid w:val="00826A6F"/>
    <w:rsid w:val="00831205"/>
    <w:rsid w:val="0083345F"/>
    <w:rsid w:val="00836667"/>
    <w:rsid w:val="00866D0F"/>
    <w:rsid w:val="00881359"/>
    <w:rsid w:val="008A1A51"/>
    <w:rsid w:val="008C2F11"/>
    <w:rsid w:val="008D78B9"/>
    <w:rsid w:val="008E3F85"/>
    <w:rsid w:val="009051E8"/>
    <w:rsid w:val="00914156"/>
    <w:rsid w:val="00916FF8"/>
    <w:rsid w:val="00922093"/>
    <w:rsid w:val="00930C85"/>
    <w:rsid w:val="009B38DA"/>
    <w:rsid w:val="009F2F53"/>
    <w:rsid w:val="009F4187"/>
    <w:rsid w:val="00A000D1"/>
    <w:rsid w:val="00A12E0F"/>
    <w:rsid w:val="00A51FAE"/>
    <w:rsid w:val="00A80845"/>
    <w:rsid w:val="00A93DC8"/>
    <w:rsid w:val="00AA34BE"/>
    <w:rsid w:val="00AB69F7"/>
    <w:rsid w:val="00AD097B"/>
    <w:rsid w:val="00AD64B9"/>
    <w:rsid w:val="00AE022B"/>
    <w:rsid w:val="00B009CC"/>
    <w:rsid w:val="00B0782A"/>
    <w:rsid w:val="00B14207"/>
    <w:rsid w:val="00B62B8C"/>
    <w:rsid w:val="00B63343"/>
    <w:rsid w:val="00B87FF7"/>
    <w:rsid w:val="00BA0B08"/>
    <w:rsid w:val="00BC0E82"/>
    <w:rsid w:val="00BC7D7A"/>
    <w:rsid w:val="00BD40F9"/>
    <w:rsid w:val="00C03E92"/>
    <w:rsid w:val="00C17A0F"/>
    <w:rsid w:val="00C235E1"/>
    <w:rsid w:val="00C41C86"/>
    <w:rsid w:val="00C63A6C"/>
    <w:rsid w:val="00CA13AF"/>
    <w:rsid w:val="00CA1444"/>
    <w:rsid w:val="00CB1590"/>
    <w:rsid w:val="00CB7600"/>
    <w:rsid w:val="00CC0E9D"/>
    <w:rsid w:val="00CC3639"/>
    <w:rsid w:val="00CC68BB"/>
    <w:rsid w:val="00CE21A6"/>
    <w:rsid w:val="00D00B1D"/>
    <w:rsid w:val="00D00CB7"/>
    <w:rsid w:val="00D215F5"/>
    <w:rsid w:val="00D25F16"/>
    <w:rsid w:val="00D53CC2"/>
    <w:rsid w:val="00DA6ECF"/>
    <w:rsid w:val="00E01476"/>
    <w:rsid w:val="00E079EC"/>
    <w:rsid w:val="00E21CA9"/>
    <w:rsid w:val="00E31063"/>
    <w:rsid w:val="00E36FE9"/>
    <w:rsid w:val="00E73E98"/>
    <w:rsid w:val="00E75223"/>
    <w:rsid w:val="00E90D72"/>
    <w:rsid w:val="00EA0BE1"/>
    <w:rsid w:val="00EC23AC"/>
    <w:rsid w:val="00EC2992"/>
    <w:rsid w:val="00ED46A4"/>
    <w:rsid w:val="00ED6FD9"/>
    <w:rsid w:val="00EE3810"/>
    <w:rsid w:val="00F63C3B"/>
    <w:rsid w:val="00F92C1A"/>
    <w:rsid w:val="00F959DB"/>
    <w:rsid w:val="00FC0252"/>
    <w:rsid w:val="00FF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398FD7"/>
  <w15:chartTrackingRefBased/>
  <w15:docId w15:val="{5EAE337D-1896-4C27-B371-6BA6E2B5C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bidi/>
      <w:adjustRightInd w:val="0"/>
      <w:textAlignment w:val="baseline"/>
    </w:pPr>
    <w:rPr>
      <w:rFonts w:cs="David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uller3">
    <w:name w:val="Ruller 3"/>
    <w:basedOn w:val="a"/>
    <w:rsid w:val="00A51FAE"/>
    <w:pPr>
      <w:tabs>
        <w:tab w:val="left" w:pos="3210"/>
        <w:tab w:val="left" w:pos="6753"/>
      </w:tabs>
      <w:spacing w:line="360" w:lineRule="auto"/>
    </w:pPr>
    <w:rPr>
      <w:rFonts w:cs="FrankRuehl"/>
      <w:spacing w:val="10"/>
      <w:sz w:val="22"/>
      <w:szCs w:val="28"/>
    </w:rPr>
  </w:style>
  <w:style w:type="paragraph" w:customStyle="1" w:styleId="Pskdinhead">
    <w:name w:val="Pskdin head"/>
    <w:basedOn w:val="a"/>
    <w:pPr>
      <w:spacing w:line="360" w:lineRule="auto"/>
    </w:pPr>
    <w:rPr>
      <w:b/>
      <w:bCs/>
      <w:u w:val="single"/>
    </w:rPr>
  </w:style>
  <w:style w:type="paragraph" w:customStyle="1" w:styleId="FileNumber">
    <w:name w:val="File Number"/>
    <w:basedOn w:val="a"/>
    <w:pPr>
      <w:spacing w:line="360" w:lineRule="auto"/>
      <w:jc w:val="right"/>
    </w:pPr>
    <w:rPr>
      <w:bCs/>
    </w:rPr>
  </w:style>
  <w:style w:type="paragraph" w:customStyle="1" w:styleId="FirstpagestylePsakdin">
    <w:name w:val="First page style Psak din"/>
    <w:basedOn w:val="Ruller3"/>
    <w:pPr>
      <w:tabs>
        <w:tab w:val="clear" w:pos="3210"/>
        <w:tab w:val="left" w:pos="3209"/>
      </w:tabs>
    </w:pPr>
    <w:rPr>
      <w:bCs/>
    </w:rPr>
  </w:style>
  <w:style w:type="paragraph" w:customStyle="1" w:styleId="TyutaDate">
    <w:name w:val="Tyuta Date"/>
    <w:basedOn w:val="a"/>
    <w:pPr>
      <w:jc w:val="center"/>
    </w:pPr>
    <w:rPr>
      <w:b/>
      <w:bCs/>
      <w:i/>
      <w:iCs/>
      <w:sz w:val="28"/>
      <w:szCs w:val="28"/>
    </w:rPr>
  </w:style>
  <w:style w:type="paragraph" w:customStyle="1" w:styleId="DocumentHead">
    <w:name w:val="Document Head"/>
    <w:basedOn w:val="a"/>
    <w:pPr>
      <w:spacing w:line="360" w:lineRule="auto"/>
      <w:jc w:val="center"/>
    </w:pPr>
    <w:rPr>
      <w:bCs/>
      <w:spacing w:val="30"/>
      <w:szCs w:val="28"/>
      <w:u w:val="single"/>
    </w:rPr>
  </w:style>
  <w:style w:type="paragraph" w:customStyle="1" w:styleId="TfutzaList">
    <w:name w:val="Tfutza List"/>
    <w:basedOn w:val="a"/>
    <w:rPr>
      <w:i/>
      <w:iCs/>
    </w:rPr>
  </w:style>
  <w:style w:type="paragraph" w:customStyle="1" w:styleId="Ruller4">
    <w:name w:val="Ruller4"/>
    <w:basedOn w:val="a"/>
    <w:rsid w:val="00A51FAE"/>
    <w:pPr>
      <w:tabs>
        <w:tab w:val="left" w:pos="800"/>
      </w:tabs>
      <w:spacing w:line="360" w:lineRule="auto"/>
      <w:jc w:val="both"/>
    </w:pPr>
    <w:rPr>
      <w:rFonts w:ascii="Arial TUR" w:hAnsi="Arial TUR" w:cs="FrankRuehl"/>
      <w:spacing w:val="10"/>
      <w:sz w:val="22"/>
      <w:szCs w:val="28"/>
    </w:rPr>
  </w:style>
  <w:style w:type="paragraph" w:customStyle="1" w:styleId="Ruller5">
    <w:name w:val="Ruller5"/>
    <w:basedOn w:val="a"/>
    <w:rsid w:val="00A51FAE"/>
    <w:pPr>
      <w:ind w:left="1642" w:right="1282"/>
      <w:jc w:val="both"/>
    </w:pPr>
    <w:rPr>
      <w:rFonts w:ascii="Arial TUR" w:hAnsi="Arial TUR" w:cs="FrankRuehl"/>
      <w:spacing w:val="10"/>
      <w:sz w:val="22"/>
      <w:szCs w:val="28"/>
    </w:rPr>
  </w:style>
  <w:style w:type="paragraph" w:customStyle="1" w:styleId="Ruller6">
    <w:name w:val="Ruller6"/>
    <w:basedOn w:val="a"/>
    <w:rsid w:val="00A51FAE"/>
    <w:pPr>
      <w:tabs>
        <w:tab w:val="left" w:pos="794"/>
        <w:tab w:val="left" w:pos="2268"/>
        <w:tab w:val="left" w:pos="5783"/>
        <w:tab w:val="left" w:pos="7371"/>
      </w:tabs>
    </w:pPr>
    <w:rPr>
      <w:rFonts w:ascii="Arial TUR" w:hAnsi="Arial TUR" w:cs="DavidFix"/>
      <w:spacing w:val="10"/>
      <w:sz w:val="22"/>
      <w:szCs w:val="20"/>
    </w:rPr>
  </w:style>
  <w:style w:type="character" w:customStyle="1" w:styleId="Delete">
    <w:name w:val="Delete"/>
    <w:rPr>
      <w:strike/>
    </w:rPr>
  </w:style>
  <w:style w:type="paragraph" w:customStyle="1" w:styleId="WriterName">
    <w:name w:val="Writer Name"/>
    <w:basedOn w:val="Ruller4"/>
    <w:next w:val="Ruller4"/>
    <w:rPr>
      <w:rFonts w:cs="David"/>
      <w:b/>
      <w:bCs/>
      <w:u w:val="single"/>
    </w:rPr>
  </w:style>
  <w:style w:type="character" w:customStyle="1" w:styleId="Hand">
    <w:name w:val="Hand"/>
    <w:rPr>
      <w:rFonts w:cs="Guttman Yad"/>
    </w:rPr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character" w:styleId="a4">
    <w:name w:val="page number"/>
    <w:basedOn w:val="a0"/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customStyle="1" w:styleId="2">
    <w:name w:val="ñâðåï2"/>
    <w:basedOn w:val="a"/>
    <w:pPr>
      <w:overflowPunct/>
      <w:textAlignment w:val="auto"/>
    </w:pPr>
    <w:rPr>
      <w:rFonts w:cs="Times New Roman"/>
    </w:rPr>
  </w:style>
  <w:style w:type="paragraph" w:customStyle="1" w:styleId="Casenameintextbody">
    <w:name w:val="Case name in text body"/>
    <w:basedOn w:val="a"/>
    <w:pPr>
      <w:overflowPunct/>
      <w:jc w:val="right"/>
      <w:textAlignment w:val="auto"/>
    </w:pPr>
    <w:rPr>
      <w:rFonts w:cs="Times New Roman"/>
      <w:b/>
      <w:bCs/>
      <w:u w:val="single"/>
    </w:rPr>
  </w:style>
  <w:style w:type="paragraph" w:customStyle="1" w:styleId="precasestyle">
    <w:name w:val="pre_case style"/>
    <w:basedOn w:val="a"/>
    <w:pPr>
      <w:tabs>
        <w:tab w:val="left" w:pos="2552"/>
      </w:tabs>
      <w:overflowPunct/>
      <w:ind w:right="2549"/>
      <w:textAlignment w:val="auto"/>
    </w:pPr>
    <w:rPr>
      <w:rFonts w:cs="Times New Roman"/>
    </w:rPr>
  </w:style>
  <w:style w:type="paragraph" w:customStyle="1" w:styleId="BodyRuller">
    <w:name w:val="Body Ruller"/>
    <w:basedOn w:val="a"/>
    <w:rPr>
      <w:sz w:val="22"/>
      <w:szCs w:val="28"/>
    </w:rPr>
  </w:style>
  <w:style w:type="paragraph" w:customStyle="1" w:styleId="Ruller38">
    <w:name w:val="סגנון Ruller 3 + (מורכב) ‏8 נק"/>
    <w:basedOn w:val="BodyRuller"/>
    <w:rPr>
      <w:szCs w:val="16"/>
    </w:rPr>
  </w:style>
  <w:style w:type="character" w:customStyle="1" w:styleId="Ruller30">
    <w:name w:val="Ruller 3 תו"/>
    <w:rPr>
      <w:rFonts w:cs="FrankRuehl"/>
      <w:sz w:val="22"/>
      <w:szCs w:val="28"/>
      <w:lang w:val="en-US" w:eastAsia="en-US" w:bidi="he-IL"/>
    </w:rPr>
  </w:style>
  <w:style w:type="character" w:customStyle="1" w:styleId="BodyRuller0">
    <w:name w:val="Body Ruller תו"/>
    <w:rPr>
      <w:rFonts w:cs="David"/>
      <w:sz w:val="22"/>
      <w:szCs w:val="28"/>
      <w:lang w:val="en-US" w:eastAsia="en-US" w:bidi="he-IL"/>
    </w:rPr>
  </w:style>
  <w:style w:type="character" w:customStyle="1" w:styleId="Ruller380">
    <w:name w:val="סגנון Ruller 3 + (מורכב) ‏8 נק תו"/>
    <w:rPr>
      <w:rFonts w:cs="David"/>
      <w:sz w:val="22"/>
      <w:szCs w:val="16"/>
      <w:lang w:val="en-US" w:eastAsia="en-US" w:bidi="he-IL"/>
    </w:rPr>
  </w:style>
  <w:style w:type="paragraph" w:customStyle="1" w:styleId="FileNumber0">
    <w:name w:val="סגנון File Number + ימין"/>
    <w:basedOn w:val="FileNumber"/>
    <w:rsid w:val="004C7868"/>
    <w:pPr>
      <w:jc w:val="left"/>
    </w:pPr>
    <w:rPr>
      <w:szCs w:val="28"/>
    </w:rPr>
  </w:style>
  <w:style w:type="paragraph" w:customStyle="1" w:styleId="BODYVERDICT">
    <w:name w:val="BODY VERDICT"/>
    <w:basedOn w:val="a"/>
    <w:rsid w:val="00036227"/>
    <w:rPr>
      <w:rFonts w:cs="FrankRuehl"/>
      <w:spacing w:val="10"/>
      <w:sz w:val="22"/>
      <w:szCs w:val="28"/>
    </w:rPr>
  </w:style>
  <w:style w:type="character" w:styleId="Hyperlink">
    <w:name w:val="Hyperlink"/>
    <w:rsid w:val="003F1F97"/>
    <w:rPr>
      <w:color w:val="0000FF"/>
      <w:u w:val="single"/>
    </w:rPr>
  </w:style>
  <w:style w:type="table" w:styleId="a6">
    <w:name w:val="Table Grid"/>
    <w:basedOn w:val="a1"/>
    <w:rsid w:val="003F1F97"/>
    <w:pPr>
      <w:overflowPunct w:val="0"/>
      <w:autoSpaceDE w:val="0"/>
      <w:autoSpaceDN w:val="0"/>
      <w:bidi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a0"/>
    <w:rsid w:val="0058440A"/>
    <w:rPr>
      <w:color w:val="954F72" w:themeColor="followedHyperlink"/>
      <w:u w:val="single"/>
    </w:rPr>
  </w:style>
  <w:style w:type="character" w:styleId="a7">
    <w:name w:val="annotation reference"/>
    <w:basedOn w:val="a0"/>
    <w:rsid w:val="00D00B1D"/>
    <w:rPr>
      <w:sz w:val="16"/>
      <w:szCs w:val="16"/>
    </w:rPr>
  </w:style>
  <w:style w:type="paragraph" w:styleId="a8">
    <w:name w:val="annotation text"/>
    <w:basedOn w:val="a"/>
    <w:link w:val="a9"/>
    <w:rsid w:val="00D00B1D"/>
    <w:rPr>
      <w:szCs w:val="20"/>
    </w:rPr>
  </w:style>
  <w:style w:type="character" w:customStyle="1" w:styleId="a9">
    <w:name w:val="טקסט הערה תו"/>
    <w:basedOn w:val="a0"/>
    <w:link w:val="a8"/>
    <w:rsid w:val="00D00B1D"/>
    <w:rPr>
      <w:rFonts w:cs="David"/>
    </w:rPr>
  </w:style>
  <w:style w:type="paragraph" w:styleId="aa">
    <w:name w:val="annotation subject"/>
    <w:basedOn w:val="a8"/>
    <w:next w:val="a8"/>
    <w:link w:val="ab"/>
    <w:rsid w:val="00D00B1D"/>
    <w:rPr>
      <w:b/>
      <w:bCs/>
    </w:rPr>
  </w:style>
  <w:style w:type="character" w:customStyle="1" w:styleId="ab">
    <w:name w:val="נושא הערה תו"/>
    <w:basedOn w:val="a9"/>
    <w:link w:val="aa"/>
    <w:rsid w:val="00D00B1D"/>
    <w:rPr>
      <w:rFonts w:cs="David"/>
      <w:b/>
      <w:bCs/>
    </w:rPr>
  </w:style>
  <w:style w:type="paragraph" w:styleId="ac">
    <w:name w:val="Balloon Text"/>
    <w:basedOn w:val="a"/>
    <w:link w:val="ad"/>
    <w:rsid w:val="00D00B1D"/>
    <w:rPr>
      <w:rFonts w:ascii="Tahoma" w:hAnsi="Tahoma" w:cs="Tahoma"/>
      <w:sz w:val="18"/>
      <w:szCs w:val="18"/>
    </w:rPr>
  </w:style>
  <w:style w:type="character" w:customStyle="1" w:styleId="ad">
    <w:name w:val="טקסט בלונים תו"/>
    <w:basedOn w:val="a0"/>
    <w:link w:val="ac"/>
    <w:rsid w:val="00D00B1D"/>
    <w:rPr>
      <w:rFonts w:ascii="Tahoma" w:hAnsi="Tahoma" w:cs="Tahoma"/>
      <w:sz w:val="18"/>
      <w:szCs w:val="18"/>
    </w:rPr>
  </w:style>
  <w:style w:type="paragraph" w:styleId="ae">
    <w:name w:val="List Paragraph"/>
    <w:basedOn w:val="a"/>
    <w:qFormat/>
    <w:rsid w:val="003E7295"/>
    <w:pPr>
      <w:overflowPunct/>
      <w:autoSpaceDE/>
      <w:autoSpaceDN/>
      <w:adjustRightInd/>
      <w:ind w:left="720"/>
      <w:contextualSpacing/>
      <w:textAlignment w:val="auto"/>
    </w:pPr>
    <w:rPr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6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reme.court.gov.il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655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פסק-דין בתיק עע"מ  3461/22</vt:lpstr>
    </vt:vector>
  </TitlesOfParts>
  <Company/>
  <LinksUpToDate>false</LinksUpToDate>
  <CharactersWithSpaces>3924</CharactersWithSpaces>
  <SharedDoc>false</SharedDoc>
  <HLinks>
    <vt:vector size="6" baseType="variant">
      <vt:variant>
        <vt:i4>1966158</vt:i4>
      </vt:variant>
      <vt:variant>
        <vt:i4>12</vt:i4>
      </vt:variant>
      <vt:variant>
        <vt:i4>0</vt:i4>
      </vt:variant>
      <vt:variant>
        <vt:i4>5</vt:i4>
      </vt:variant>
      <vt:variant>
        <vt:lpwstr>http://www.court.gov.il/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/>
  <cp:lastPrinted>2023-03-20T15:46:01Z</cp:lastPrinted>
  <dcterms:created xsi:type="dcterms:W3CDTF">2023-03-20T15:46:01Z</dcterms:created>
  <dcterms:modified xsi:type="dcterms:W3CDTF">2023-03-20T15:46:01Z</dcterms:modified>
</cp:coreProperties>
</file>